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7C" w:rsidRDefault="00EB2598" w:rsidP="00F25626">
      <w:pPr>
        <w:rPr>
          <w:rFonts w:ascii="Arial Black" w:hAnsi="Arial Black"/>
          <w:bCs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695FAB" wp14:editId="373632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4208" cy="1371600"/>
            <wp:effectExtent l="0" t="0" r="0" b="0"/>
            <wp:wrapSquare wrapText="bothSides"/>
            <wp:docPr id="2" name="Picture 2" descr="FSU_DiversityLogo-r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U_DiversityLogo-rev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5414" w:rsidRDefault="00F05414" w:rsidP="009F09FC"/>
    <w:p w:rsidR="000F7D68" w:rsidRDefault="000F7D68" w:rsidP="000F7D68">
      <w:pPr>
        <w:jc w:val="center"/>
        <w:rPr>
          <w:rFonts w:ascii="Arial Black" w:hAnsi="Arial Black"/>
          <w:bCs/>
        </w:rPr>
      </w:pPr>
      <w:r>
        <w:rPr>
          <w:rFonts w:ascii="Arial Black" w:hAnsi="Arial Black"/>
          <w:bCs/>
          <w:sz w:val="28"/>
        </w:rPr>
        <w:t>12 Month Activities and Reporting for FY16</w:t>
      </w:r>
    </w:p>
    <w:p w:rsidR="000F7D68" w:rsidRDefault="000F7D68" w:rsidP="009F09FC"/>
    <w:p w:rsidR="00AC4E2F" w:rsidRDefault="00AC4E2F" w:rsidP="009F09FC">
      <w:pPr>
        <w:pStyle w:val="BodyTextIndent2"/>
        <w:ind w:left="0" w:firstLine="0"/>
        <w:jc w:val="both"/>
        <w:rPr>
          <w:rFonts w:ascii="Arial" w:hAnsi="Arial" w:cs="Arial"/>
        </w:rPr>
      </w:pPr>
    </w:p>
    <w:p w:rsidR="00AC4E2F" w:rsidRDefault="00AC4E2F" w:rsidP="009F09FC">
      <w:pPr>
        <w:pStyle w:val="BodyTextIndent2"/>
        <w:ind w:left="0" w:firstLine="0"/>
        <w:jc w:val="both"/>
        <w:rPr>
          <w:rFonts w:ascii="Arial" w:hAnsi="Arial" w:cs="Arial"/>
        </w:rPr>
      </w:pPr>
    </w:p>
    <w:p w:rsidR="00AC4E2F" w:rsidRDefault="00AC4E2F" w:rsidP="009F09FC">
      <w:pPr>
        <w:pStyle w:val="BodyTextIndent2"/>
        <w:ind w:left="0" w:firstLine="0"/>
        <w:jc w:val="both"/>
        <w:rPr>
          <w:rFonts w:ascii="Arial" w:hAnsi="Arial" w:cs="Arial"/>
        </w:rPr>
      </w:pPr>
    </w:p>
    <w:p w:rsidR="00AC4E2F" w:rsidRDefault="00AC4E2F" w:rsidP="009F09FC">
      <w:pPr>
        <w:pStyle w:val="BodyTextIndent2"/>
        <w:ind w:left="0" w:firstLine="0"/>
        <w:jc w:val="both"/>
        <w:rPr>
          <w:rFonts w:ascii="Arial" w:hAnsi="Arial" w:cs="Arial"/>
        </w:rPr>
      </w:pPr>
    </w:p>
    <w:p w:rsidR="009F09FC" w:rsidRPr="00905312" w:rsidRDefault="009F09FC" w:rsidP="009F09FC">
      <w:pPr>
        <w:pStyle w:val="BodyTextIndent2"/>
        <w:ind w:left="0" w:firstLine="0"/>
        <w:jc w:val="both"/>
        <w:rPr>
          <w:rFonts w:ascii="Arial" w:hAnsi="Arial" w:cs="Arial"/>
          <w:sz w:val="20"/>
          <w:szCs w:val="20"/>
        </w:rPr>
      </w:pPr>
      <w:r w:rsidRPr="00905312">
        <w:rPr>
          <w:rFonts w:ascii="Arial" w:hAnsi="Arial" w:cs="Arial"/>
          <w:sz w:val="20"/>
          <w:szCs w:val="20"/>
        </w:rPr>
        <w:t>Florida State University</w:t>
      </w:r>
      <w:r w:rsidR="00DD7AD8" w:rsidRPr="00905312">
        <w:rPr>
          <w:rFonts w:ascii="Arial" w:hAnsi="Arial" w:cs="Arial"/>
          <w:sz w:val="20"/>
          <w:szCs w:val="20"/>
        </w:rPr>
        <w:t xml:space="preserve"> (FSU)</w:t>
      </w:r>
      <w:r w:rsidRPr="00905312">
        <w:rPr>
          <w:rFonts w:ascii="Arial" w:hAnsi="Arial" w:cs="Arial"/>
          <w:sz w:val="20"/>
          <w:szCs w:val="20"/>
        </w:rPr>
        <w:t xml:space="preserve"> continues to implement its </w:t>
      </w:r>
      <w:r w:rsidR="00AC4E2F" w:rsidRPr="00905312">
        <w:rPr>
          <w:rFonts w:ascii="Arial" w:hAnsi="Arial" w:cs="Arial"/>
          <w:sz w:val="20"/>
          <w:szCs w:val="20"/>
        </w:rPr>
        <w:t>Supplier Diversity Plan (</w:t>
      </w:r>
      <w:r w:rsidR="00DB082D" w:rsidRPr="00905312">
        <w:rPr>
          <w:rFonts w:ascii="Arial" w:hAnsi="Arial" w:cs="Arial"/>
          <w:sz w:val="20"/>
          <w:szCs w:val="20"/>
        </w:rPr>
        <w:t>SDP</w:t>
      </w:r>
      <w:r w:rsidR="00AC4E2F" w:rsidRPr="00905312">
        <w:rPr>
          <w:rFonts w:ascii="Arial" w:hAnsi="Arial" w:cs="Arial"/>
          <w:sz w:val="20"/>
          <w:szCs w:val="20"/>
        </w:rPr>
        <w:t>)</w:t>
      </w:r>
      <w:r w:rsidRPr="00905312">
        <w:rPr>
          <w:rFonts w:ascii="Arial" w:hAnsi="Arial" w:cs="Arial"/>
          <w:sz w:val="20"/>
          <w:szCs w:val="20"/>
        </w:rPr>
        <w:t xml:space="preserve"> in an inclusionary manner aimed at enhancing the participation of qualified small businesses in state contracting</w:t>
      </w:r>
      <w:r w:rsidR="00565B70" w:rsidRPr="00905312">
        <w:rPr>
          <w:rFonts w:ascii="Arial" w:hAnsi="Arial" w:cs="Arial"/>
          <w:sz w:val="20"/>
          <w:szCs w:val="20"/>
        </w:rPr>
        <w:t xml:space="preserve"> to include </w:t>
      </w:r>
      <w:r w:rsidR="00AC4E2F" w:rsidRPr="00905312">
        <w:rPr>
          <w:rFonts w:ascii="Arial" w:hAnsi="Arial" w:cs="Arial"/>
          <w:sz w:val="20"/>
          <w:szCs w:val="20"/>
        </w:rPr>
        <w:t xml:space="preserve">small, </w:t>
      </w:r>
      <w:r w:rsidR="00565B70" w:rsidRPr="00905312">
        <w:rPr>
          <w:rFonts w:ascii="Arial" w:hAnsi="Arial" w:cs="Arial"/>
          <w:sz w:val="20"/>
          <w:szCs w:val="20"/>
        </w:rPr>
        <w:t xml:space="preserve">minority, </w:t>
      </w:r>
      <w:r w:rsidR="00565B70" w:rsidRPr="00905312">
        <w:rPr>
          <w:rFonts w:ascii="Arial" w:hAnsi="Arial" w:cs="Arial"/>
          <w:bCs/>
          <w:sz w:val="20"/>
          <w:szCs w:val="20"/>
        </w:rPr>
        <w:t xml:space="preserve">veteran and women </w:t>
      </w:r>
      <w:r w:rsidR="00565B70" w:rsidRPr="00905312">
        <w:rPr>
          <w:rFonts w:ascii="Arial" w:hAnsi="Arial" w:cs="Arial"/>
          <w:sz w:val="20"/>
          <w:szCs w:val="20"/>
        </w:rPr>
        <w:t>owned business enterprises</w:t>
      </w:r>
      <w:r w:rsidR="00AC4E2F" w:rsidRPr="00905312">
        <w:rPr>
          <w:rFonts w:ascii="Arial" w:hAnsi="Arial" w:cs="Arial"/>
          <w:sz w:val="20"/>
          <w:szCs w:val="20"/>
        </w:rPr>
        <w:t xml:space="preserve"> (SMV/WBEs)</w:t>
      </w:r>
      <w:r w:rsidRPr="00905312">
        <w:rPr>
          <w:rFonts w:ascii="Arial" w:hAnsi="Arial" w:cs="Arial"/>
          <w:sz w:val="20"/>
          <w:szCs w:val="20"/>
        </w:rPr>
        <w:t xml:space="preserve">.  </w:t>
      </w:r>
    </w:p>
    <w:p w:rsidR="009F09FC" w:rsidRPr="00905312" w:rsidRDefault="009F09FC" w:rsidP="009F09FC">
      <w:pPr>
        <w:pStyle w:val="BodyTextIndent2"/>
        <w:ind w:left="0"/>
        <w:jc w:val="both"/>
        <w:rPr>
          <w:rFonts w:ascii="Arial" w:hAnsi="Arial" w:cs="Arial"/>
          <w:sz w:val="20"/>
          <w:szCs w:val="20"/>
        </w:rPr>
      </w:pPr>
    </w:p>
    <w:p w:rsidR="009F09FC" w:rsidRPr="00905312" w:rsidRDefault="009F09FC" w:rsidP="00A009CB">
      <w:pPr>
        <w:pStyle w:val="BodyTextIndent2"/>
        <w:ind w:left="0" w:firstLine="0"/>
        <w:jc w:val="both"/>
        <w:rPr>
          <w:rFonts w:ascii="Arial" w:hAnsi="Arial" w:cs="Arial"/>
          <w:sz w:val="20"/>
          <w:szCs w:val="20"/>
        </w:rPr>
      </w:pPr>
      <w:r w:rsidRPr="00905312">
        <w:rPr>
          <w:rFonts w:ascii="Arial" w:hAnsi="Arial" w:cs="Arial"/>
          <w:sz w:val="20"/>
          <w:szCs w:val="20"/>
        </w:rPr>
        <w:t xml:space="preserve">This document reflects the University’s market-driven approach toward continued development for a broadened level of business participation.  Through </w:t>
      </w:r>
      <w:r w:rsidR="00DB082D" w:rsidRPr="00905312">
        <w:rPr>
          <w:rFonts w:ascii="Arial" w:hAnsi="Arial" w:cs="Arial"/>
          <w:sz w:val="20"/>
          <w:szCs w:val="20"/>
        </w:rPr>
        <w:t xml:space="preserve">outreach and </w:t>
      </w:r>
      <w:r w:rsidRPr="00905312">
        <w:rPr>
          <w:rFonts w:ascii="Arial" w:hAnsi="Arial" w:cs="Arial"/>
          <w:sz w:val="20"/>
          <w:szCs w:val="20"/>
        </w:rPr>
        <w:t>educational activities</w:t>
      </w:r>
      <w:r w:rsidR="00DB082D" w:rsidRPr="00905312">
        <w:rPr>
          <w:rFonts w:ascii="Arial" w:hAnsi="Arial" w:cs="Arial"/>
          <w:sz w:val="20"/>
          <w:szCs w:val="20"/>
        </w:rPr>
        <w:t>,</w:t>
      </w:r>
      <w:r w:rsidRPr="00905312">
        <w:rPr>
          <w:rFonts w:ascii="Arial" w:hAnsi="Arial" w:cs="Arial"/>
          <w:sz w:val="20"/>
          <w:szCs w:val="20"/>
        </w:rPr>
        <w:t xml:space="preserve"> the University enhance</w:t>
      </w:r>
      <w:r w:rsidR="00DB082D" w:rsidRPr="00905312">
        <w:rPr>
          <w:rFonts w:ascii="Arial" w:hAnsi="Arial" w:cs="Arial"/>
          <w:sz w:val="20"/>
          <w:szCs w:val="20"/>
        </w:rPr>
        <w:t>s</w:t>
      </w:r>
      <w:r w:rsidRPr="00905312">
        <w:rPr>
          <w:rFonts w:ascii="Arial" w:hAnsi="Arial" w:cs="Arial"/>
          <w:sz w:val="20"/>
          <w:szCs w:val="20"/>
        </w:rPr>
        <w:t xml:space="preserve"> its commitment of equity in contracting and procurement.  </w:t>
      </w:r>
      <w:bookmarkStart w:id="1" w:name="OLE_LINK1"/>
      <w:bookmarkStart w:id="2" w:name="OLE_LINK2"/>
    </w:p>
    <w:bookmarkEnd w:id="1"/>
    <w:bookmarkEnd w:id="2"/>
    <w:p w:rsidR="008858E6" w:rsidRPr="00905312" w:rsidRDefault="008858E6" w:rsidP="009F09FC">
      <w:pPr>
        <w:rPr>
          <w:rFonts w:ascii="Arial" w:hAnsi="Arial" w:cs="Arial"/>
          <w:sz w:val="20"/>
          <w:szCs w:val="20"/>
        </w:rPr>
      </w:pPr>
    </w:p>
    <w:p w:rsidR="0083064B" w:rsidRPr="00905312" w:rsidRDefault="00A009CB" w:rsidP="0083064B">
      <w:pPr>
        <w:rPr>
          <w:rFonts w:ascii="Arial" w:hAnsi="Arial" w:cs="Arial"/>
          <w:sz w:val="20"/>
          <w:szCs w:val="20"/>
        </w:rPr>
      </w:pPr>
      <w:r w:rsidRPr="00905312">
        <w:rPr>
          <w:rFonts w:ascii="Arial" w:hAnsi="Arial" w:cs="Arial"/>
          <w:sz w:val="20"/>
          <w:szCs w:val="20"/>
        </w:rPr>
        <w:t xml:space="preserve">The </w:t>
      </w:r>
      <w:r w:rsidR="00AC4E2F" w:rsidRPr="00905312">
        <w:rPr>
          <w:rFonts w:ascii="Arial" w:hAnsi="Arial" w:cs="Arial"/>
          <w:sz w:val="20"/>
          <w:szCs w:val="20"/>
        </w:rPr>
        <w:t xml:space="preserve">Chief Procurement Officer </w:t>
      </w:r>
      <w:r w:rsidRPr="00905312">
        <w:rPr>
          <w:rFonts w:ascii="Arial" w:hAnsi="Arial" w:cs="Arial"/>
          <w:sz w:val="20"/>
          <w:szCs w:val="20"/>
        </w:rPr>
        <w:t>will provide direction for the University’s SDP</w:t>
      </w:r>
      <w:r w:rsidR="0083064B" w:rsidRPr="00905312">
        <w:rPr>
          <w:rFonts w:ascii="Arial" w:hAnsi="Arial" w:cs="Arial"/>
          <w:sz w:val="20"/>
          <w:szCs w:val="20"/>
        </w:rPr>
        <w:t xml:space="preserve"> with a focus on communications</w:t>
      </w:r>
      <w:r w:rsidR="007A5677" w:rsidRPr="00905312">
        <w:rPr>
          <w:rFonts w:ascii="Arial" w:hAnsi="Arial" w:cs="Arial"/>
          <w:sz w:val="20"/>
          <w:szCs w:val="20"/>
        </w:rPr>
        <w:t xml:space="preserve"> </w:t>
      </w:r>
      <w:r w:rsidR="00DB082D" w:rsidRPr="00905312">
        <w:rPr>
          <w:rFonts w:ascii="Arial" w:hAnsi="Arial" w:cs="Arial"/>
          <w:sz w:val="20"/>
          <w:szCs w:val="20"/>
        </w:rPr>
        <w:t>with</w:t>
      </w:r>
      <w:r w:rsidR="0083064B" w:rsidRPr="00905312">
        <w:rPr>
          <w:rFonts w:ascii="Arial" w:hAnsi="Arial" w:cs="Arial"/>
          <w:sz w:val="20"/>
          <w:szCs w:val="20"/>
        </w:rPr>
        <w:t xml:space="preserve"> the small business community through outreach efforts and educating staff internally on ways of making small acts of inclusion.</w:t>
      </w:r>
    </w:p>
    <w:p w:rsidR="0083064B" w:rsidRPr="00905312" w:rsidRDefault="0083064B" w:rsidP="00DB082D">
      <w:pPr>
        <w:pStyle w:val="BlockText"/>
        <w:tabs>
          <w:tab w:val="left" w:pos="360"/>
        </w:tabs>
        <w:ind w:left="0" w:right="0"/>
        <w:jc w:val="both"/>
        <w:rPr>
          <w:rFonts w:ascii="Arial" w:hAnsi="Arial" w:cs="Arial"/>
          <w:sz w:val="20"/>
          <w:szCs w:val="20"/>
        </w:rPr>
      </w:pPr>
    </w:p>
    <w:p w:rsidR="00A009CB" w:rsidRPr="00905312" w:rsidRDefault="00A009CB" w:rsidP="00DB082D">
      <w:pPr>
        <w:pStyle w:val="BlockText"/>
        <w:tabs>
          <w:tab w:val="left" w:pos="360"/>
        </w:tabs>
        <w:ind w:left="0" w:right="0"/>
        <w:jc w:val="both"/>
        <w:rPr>
          <w:rFonts w:ascii="Arial" w:hAnsi="Arial" w:cs="Arial"/>
          <w:sz w:val="20"/>
          <w:szCs w:val="20"/>
        </w:rPr>
      </w:pPr>
      <w:r w:rsidRPr="00905312">
        <w:rPr>
          <w:rFonts w:ascii="Arial" w:hAnsi="Arial" w:cs="Arial"/>
          <w:sz w:val="20"/>
          <w:szCs w:val="20"/>
        </w:rPr>
        <w:t xml:space="preserve">In addition, the University will receive direction from the </w:t>
      </w:r>
      <w:hyperlink r:id="rId9" w:history="1">
        <w:r w:rsidR="0083064B" w:rsidRPr="00905312">
          <w:rPr>
            <w:rStyle w:val="Hyperlink"/>
            <w:rFonts w:ascii="Arial" w:hAnsi="Arial" w:cs="Arial"/>
            <w:sz w:val="20"/>
            <w:szCs w:val="20"/>
          </w:rPr>
          <w:t>Small Business Participation Council</w:t>
        </w:r>
      </w:hyperlink>
      <w:r w:rsidR="0083064B" w:rsidRPr="00905312">
        <w:rPr>
          <w:rFonts w:ascii="Arial" w:hAnsi="Arial" w:cs="Arial"/>
          <w:sz w:val="20"/>
          <w:szCs w:val="20"/>
        </w:rPr>
        <w:t xml:space="preserve"> (</w:t>
      </w:r>
      <w:r w:rsidRPr="00905312">
        <w:rPr>
          <w:rFonts w:ascii="Arial" w:hAnsi="Arial" w:cs="Arial"/>
          <w:sz w:val="20"/>
          <w:szCs w:val="20"/>
        </w:rPr>
        <w:t>SBPC</w:t>
      </w:r>
      <w:r w:rsidR="0083064B" w:rsidRPr="00905312">
        <w:rPr>
          <w:rFonts w:ascii="Arial" w:hAnsi="Arial" w:cs="Arial"/>
          <w:sz w:val="20"/>
          <w:szCs w:val="20"/>
        </w:rPr>
        <w:t>)</w:t>
      </w:r>
      <w:r w:rsidRPr="00905312">
        <w:rPr>
          <w:rFonts w:ascii="Arial" w:hAnsi="Arial" w:cs="Arial"/>
          <w:sz w:val="20"/>
          <w:szCs w:val="20"/>
        </w:rPr>
        <w:t xml:space="preserve"> to successfully implement the 12-Month Operating Plan, chaired by </w:t>
      </w:r>
      <w:r w:rsidR="00AC4E2F" w:rsidRPr="00905312">
        <w:rPr>
          <w:rFonts w:ascii="Arial" w:hAnsi="Arial" w:cs="Arial"/>
          <w:sz w:val="20"/>
          <w:szCs w:val="20"/>
        </w:rPr>
        <w:t xml:space="preserve">the </w:t>
      </w:r>
      <w:r w:rsidRPr="00905312">
        <w:rPr>
          <w:rFonts w:ascii="Arial" w:hAnsi="Arial" w:cs="Arial"/>
          <w:sz w:val="20"/>
          <w:szCs w:val="20"/>
        </w:rPr>
        <w:t>Procurement Services Associate Director.</w:t>
      </w:r>
    </w:p>
    <w:p w:rsidR="00A009CB" w:rsidRPr="00905312" w:rsidRDefault="00A009CB" w:rsidP="00A009CB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A009CB" w:rsidRPr="00905312" w:rsidRDefault="00A009CB" w:rsidP="0090531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905312">
        <w:rPr>
          <w:rFonts w:ascii="Arial" w:hAnsi="Arial" w:cs="Arial"/>
          <w:sz w:val="20"/>
          <w:szCs w:val="20"/>
        </w:rPr>
        <w:t xml:space="preserve">The key purpose of the SBPC is to foster a diverse supply base, and in the process, improve outcomes regarding expenditures with that diverse supply base.  This council will monitor and track the </w:t>
      </w:r>
      <w:r w:rsidR="00DB082D" w:rsidRPr="00905312">
        <w:rPr>
          <w:rFonts w:ascii="Arial" w:hAnsi="Arial" w:cs="Arial"/>
          <w:sz w:val="20"/>
          <w:szCs w:val="20"/>
        </w:rPr>
        <w:t>operating</w:t>
      </w:r>
      <w:r w:rsidRPr="00905312">
        <w:rPr>
          <w:rFonts w:ascii="Arial" w:hAnsi="Arial" w:cs="Arial"/>
          <w:sz w:val="20"/>
          <w:szCs w:val="20"/>
        </w:rPr>
        <w:t xml:space="preserve"> plan progress while continuing to encourage full participation, effective outreach and implementation of the FSU diversity initiative with SMV/WBE</w:t>
      </w:r>
      <w:r w:rsidR="00DB082D" w:rsidRPr="00905312">
        <w:rPr>
          <w:rFonts w:ascii="Arial" w:hAnsi="Arial" w:cs="Arial"/>
          <w:sz w:val="20"/>
          <w:szCs w:val="20"/>
        </w:rPr>
        <w:t>s.</w:t>
      </w:r>
    </w:p>
    <w:p w:rsidR="00D727E5" w:rsidRPr="00905312" w:rsidRDefault="00D727E5" w:rsidP="009F09FC">
      <w:pPr>
        <w:rPr>
          <w:rFonts w:ascii="Arial" w:hAnsi="Arial" w:cs="Arial"/>
          <w:sz w:val="20"/>
          <w:szCs w:val="20"/>
        </w:rPr>
      </w:pPr>
    </w:p>
    <w:p w:rsidR="0083064B" w:rsidRPr="00905312" w:rsidRDefault="000C6155" w:rsidP="009F09FC">
      <w:pPr>
        <w:rPr>
          <w:rFonts w:ascii="Arial" w:hAnsi="Arial" w:cs="Arial"/>
          <w:b/>
        </w:rPr>
      </w:pPr>
      <w:r w:rsidRPr="00905312">
        <w:rPr>
          <w:rFonts w:ascii="Arial" w:hAnsi="Arial" w:cs="Arial"/>
          <w:b/>
        </w:rPr>
        <w:t xml:space="preserve">Planned </w:t>
      </w:r>
      <w:r w:rsidR="0083064B" w:rsidRPr="00905312">
        <w:rPr>
          <w:rFonts w:ascii="Arial" w:hAnsi="Arial" w:cs="Arial"/>
          <w:b/>
        </w:rPr>
        <w:t>Activities:</w:t>
      </w:r>
    </w:p>
    <w:p w:rsidR="00F8657C" w:rsidRPr="00905312" w:rsidRDefault="00F8657C" w:rsidP="00F8657C">
      <w:pPr>
        <w:pStyle w:val="ListParagraph"/>
        <w:numPr>
          <w:ilvl w:val="0"/>
          <w:numId w:val="5"/>
        </w:numPr>
        <w:autoSpaceDE w:val="0"/>
        <w:autoSpaceDN w:val="0"/>
        <w:spacing w:before="240"/>
        <w:jc w:val="both"/>
        <w:rPr>
          <w:rFonts w:ascii="Arial" w:hAnsi="Arial" w:cs="Arial"/>
          <w:sz w:val="20"/>
          <w:szCs w:val="20"/>
        </w:rPr>
      </w:pPr>
      <w:r w:rsidRPr="00905312">
        <w:rPr>
          <w:rFonts w:ascii="Arial" w:hAnsi="Arial" w:cs="Arial"/>
          <w:sz w:val="20"/>
          <w:szCs w:val="20"/>
        </w:rPr>
        <w:t>Coordinate meet &amp; greet events between small business owners and major contracting firms upon award of a major construction projects, to expand relationships and provide subcontracting opportunities.</w:t>
      </w:r>
    </w:p>
    <w:p w:rsidR="00F8657C" w:rsidRPr="00905312" w:rsidRDefault="00F8657C" w:rsidP="00F8657C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F8657C" w:rsidRPr="00905312" w:rsidRDefault="00F8657C" w:rsidP="00F865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05312">
        <w:rPr>
          <w:rFonts w:ascii="Arial" w:hAnsi="Arial" w:cs="Arial"/>
          <w:sz w:val="20"/>
          <w:szCs w:val="20"/>
        </w:rPr>
        <w:t xml:space="preserve">Conduct a course curriculum on the topic of “Construction Services Marketing” geared to prepare small businesses to compete for the FSU “Service Contracts” offered every three years.  This may include a “Mock Interview Presentation” and One-on-One assistance with submittal packages.  </w:t>
      </w:r>
      <w:r w:rsidR="00F745B9" w:rsidRPr="00905312">
        <w:rPr>
          <w:rFonts w:ascii="Arial" w:hAnsi="Arial" w:cs="Arial"/>
          <w:sz w:val="20"/>
          <w:szCs w:val="20"/>
        </w:rPr>
        <w:t>The n</w:t>
      </w:r>
      <w:r w:rsidRPr="00905312">
        <w:rPr>
          <w:rFonts w:ascii="Arial" w:hAnsi="Arial" w:cs="Arial"/>
          <w:sz w:val="20"/>
          <w:szCs w:val="20"/>
        </w:rPr>
        <w:t>ext training will be April 2016.</w:t>
      </w:r>
    </w:p>
    <w:p w:rsidR="00F8657C" w:rsidRPr="00905312" w:rsidRDefault="00F8657C" w:rsidP="00F8657C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F8657C" w:rsidRPr="00905312" w:rsidRDefault="00F8657C" w:rsidP="00F8657C">
      <w:pPr>
        <w:pStyle w:val="ListParagraph"/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05312">
        <w:rPr>
          <w:rFonts w:ascii="Arial" w:hAnsi="Arial" w:cs="Arial"/>
          <w:color w:val="000000"/>
          <w:sz w:val="20"/>
          <w:szCs w:val="20"/>
        </w:rPr>
        <w:t>Inform businesses about development and contract opportunities with FSU when attending community outreach events.</w:t>
      </w:r>
    </w:p>
    <w:p w:rsidR="00012CBA" w:rsidRPr="00905312" w:rsidRDefault="00012CBA" w:rsidP="00012C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F8657C" w:rsidRPr="00905312" w:rsidRDefault="00F8657C" w:rsidP="00F8657C">
      <w:pPr>
        <w:pStyle w:val="ListParagraph"/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05312">
        <w:rPr>
          <w:rFonts w:ascii="Arial" w:hAnsi="Arial" w:cs="Arial"/>
          <w:sz w:val="20"/>
          <w:szCs w:val="20"/>
        </w:rPr>
        <w:t xml:space="preserve">Serve on the planning committee for the Big Bend MED Week (October 2016), the Small Business Week celebrations and the State </w:t>
      </w:r>
      <w:r w:rsidR="00F745B9" w:rsidRPr="00905312">
        <w:rPr>
          <w:rFonts w:ascii="Arial" w:hAnsi="Arial" w:cs="Arial"/>
          <w:sz w:val="20"/>
          <w:szCs w:val="20"/>
        </w:rPr>
        <w:t xml:space="preserve">Department of Management Services </w:t>
      </w:r>
      <w:r w:rsidRPr="00905312">
        <w:rPr>
          <w:rFonts w:ascii="Arial" w:hAnsi="Arial" w:cs="Arial"/>
          <w:sz w:val="20"/>
          <w:szCs w:val="20"/>
        </w:rPr>
        <w:t>Office of Supplier Diversity Annual Tallahassee Regional MatchMaker Conference (May 2016).</w:t>
      </w:r>
    </w:p>
    <w:p w:rsidR="00F8657C" w:rsidRPr="00905312" w:rsidRDefault="00F8657C" w:rsidP="00F8657C">
      <w:pPr>
        <w:pStyle w:val="ListParagraph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F8657C" w:rsidRPr="00905312" w:rsidRDefault="00F8657C" w:rsidP="00F865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05312">
        <w:rPr>
          <w:rFonts w:ascii="Arial" w:hAnsi="Arial" w:cs="Arial"/>
          <w:color w:val="000000"/>
          <w:sz w:val="20"/>
          <w:szCs w:val="20"/>
        </w:rPr>
        <w:t>Continue participation with Alliance of Entrepreneur Resource Organizations, a partnership with the FSU College of Business</w:t>
      </w:r>
      <w:r w:rsidR="00F745B9" w:rsidRPr="00905312">
        <w:rPr>
          <w:rFonts w:ascii="Arial" w:hAnsi="Arial" w:cs="Arial"/>
          <w:color w:val="000000"/>
          <w:sz w:val="20"/>
          <w:szCs w:val="20"/>
        </w:rPr>
        <w:t>,</w:t>
      </w:r>
      <w:r w:rsidRPr="00905312">
        <w:rPr>
          <w:rFonts w:ascii="Arial" w:hAnsi="Arial" w:cs="Arial"/>
          <w:color w:val="000000"/>
          <w:sz w:val="20"/>
          <w:szCs w:val="20"/>
        </w:rPr>
        <w:t xml:space="preserve"> Jim Moran Institute</w:t>
      </w:r>
      <w:r w:rsidR="00F745B9" w:rsidRPr="00905312">
        <w:rPr>
          <w:rFonts w:ascii="Arial" w:hAnsi="Arial" w:cs="Arial"/>
          <w:color w:val="000000"/>
          <w:sz w:val="20"/>
          <w:szCs w:val="20"/>
        </w:rPr>
        <w:t>,</w:t>
      </w:r>
      <w:r w:rsidRPr="00905312">
        <w:rPr>
          <w:rFonts w:ascii="Arial" w:hAnsi="Arial" w:cs="Arial"/>
          <w:color w:val="000000"/>
          <w:sz w:val="20"/>
          <w:szCs w:val="20"/>
        </w:rPr>
        <w:t xml:space="preserve"> and other local organizations providing services to entrepreneurial and small business owners while providing a single source website of information about each partner organization.</w:t>
      </w:r>
    </w:p>
    <w:p w:rsidR="00F8657C" w:rsidRPr="00905312" w:rsidRDefault="00F8657C" w:rsidP="00F8657C">
      <w:pPr>
        <w:pStyle w:val="ListParagraph"/>
        <w:rPr>
          <w:rFonts w:ascii="Arial" w:hAnsi="Arial" w:cs="Arial"/>
          <w:sz w:val="20"/>
          <w:szCs w:val="20"/>
        </w:rPr>
      </w:pPr>
    </w:p>
    <w:p w:rsidR="00F8657C" w:rsidRPr="00905312" w:rsidRDefault="00F8657C" w:rsidP="00F865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05312">
        <w:rPr>
          <w:rFonts w:ascii="Arial" w:hAnsi="Arial" w:cs="Arial"/>
          <w:sz w:val="20"/>
          <w:szCs w:val="20"/>
        </w:rPr>
        <w:t xml:space="preserve">Serve on the planning committee for </w:t>
      </w:r>
      <w:r w:rsidRPr="00905312">
        <w:rPr>
          <w:rFonts w:ascii="Arial" w:hAnsi="Arial" w:cs="Arial"/>
          <w:color w:val="000000"/>
          <w:sz w:val="20"/>
          <w:szCs w:val="20"/>
        </w:rPr>
        <w:t>the 2016 FSU supplier show that will include FSU contract suppliers.</w:t>
      </w:r>
    </w:p>
    <w:p w:rsidR="00F8657C" w:rsidRPr="00905312" w:rsidRDefault="00F8657C" w:rsidP="00F8657C">
      <w:pPr>
        <w:pStyle w:val="ListParagraph"/>
        <w:rPr>
          <w:rFonts w:ascii="Arial" w:hAnsi="Arial" w:cs="Arial"/>
          <w:sz w:val="20"/>
          <w:szCs w:val="20"/>
        </w:rPr>
      </w:pPr>
    </w:p>
    <w:p w:rsidR="00F8657C" w:rsidRPr="00905312" w:rsidRDefault="00F8657C" w:rsidP="00F8657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905312">
        <w:rPr>
          <w:rFonts w:ascii="Arial" w:hAnsi="Arial" w:cs="Arial"/>
          <w:sz w:val="20"/>
          <w:szCs w:val="20"/>
        </w:rPr>
        <w:t>Facilitate a pilot initiative with colleges/departments to extend Small</w:t>
      </w:r>
      <w:r w:rsidRPr="009053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5312">
        <w:rPr>
          <w:rFonts w:ascii="Arial" w:hAnsi="Arial" w:cs="Arial"/>
          <w:sz w:val="20"/>
          <w:szCs w:val="20"/>
        </w:rPr>
        <w:t>Acts of Inclusion with SMV/WBEs and to raise awareness with staff members who requisition the procurement of goods</w:t>
      </w:r>
      <w:r w:rsidRPr="009053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5312">
        <w:rPr>
          <w:rFonts w:ascii="Arial" w:hAnsi="Arial" w:cs="Arial"/>
          <w:sz w:val="20"/>
          <w:szCs w:val="20"/>
        </w:rPr>
        <w:t>and services. Next planned initiative is with the College of Business.</w:t>
      </w:r>
    </w:p>
    <w:p w:rsidR="00F8657C" w:rsidRDefault="00F8657C" w:rsidP="002B7B56">
      <w:pPr>
        <w:rPr>
          <w:rFonts w:ascii="Arial" w:hAnsi="Arial" w:cs="Arial"/>
        </w:rPr>
      </w:pPr>
    </w:p>
    <w:p w:rsidR="002B7B56" w:rsidRPr="00905312" w:rsidRDefault="003C6ED2" w:rsidP="002B7B56">
      <w:pPr>
        <w:rPr>
          <w:rFonts w:ascii="Arial" w:hAnsi="Arial" w:cs="Arial"/>
          <w:b/>
        </w:rPr>
      </w:pPr>
      <w:r w:rsidRPr="00905312">
        <w:rPr>
          <w:rFonts w:ascii="Arial" w:hAnsi="Arial" w:cs="Arial"/>
          <w:b/>
        </w:rPr>
        <w:t>Accountability and</w:t>
      </w:r>
      <w:r w:rsidR="002B7B56" w:rsidRPr="00905312">
        <w:rPr>
          <w:rFonts w:ascii="Arial" w:hAnsi="Arial" w:cs="Arial"/>
          <w:b/>
        </w:rPr>
        <w:t xml:space="preserve"> Reporting:</w:t>
      </w:r>
    </w:p>
    <w:p w:rsidR="009F09FC" w:rsidRPr="007A5677" w:rsidRDefault="009F09FC" w:rsidP="009F09F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9F09FC" w:rsidRPr="00905312" w:rsidRDefault="00E862D8" w:rsidP="009F09F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905312">
        <w:rPr>
          <w:rFonts w:ascii="Arial" w:hAnsi="Arial" w:cs="Arial"/>
          <w:sz w:val="20"/>
          <w:szCs w:val="20"/>
        </w:rPr>
        <w:t xml:space="preserve">Below is a summary of FSU’s spending including both certified and non-certified </w:t>
      </w:r>
      <w:r w:rsidR="00F745B9">
        <w:rPr>
          <w:rFonts w:ascii="Arial" w:hAnsi="Arial" w:cs="Arial"/>
          <w:sz w:val="20"/>
          <w:szCs w:val="20"/>
        </w:rPr>
        <w:t>SMV/WBEs</w:t>
      </w:r>
      <w:r w:rsidR="007C77A0">
        <w:rPr>
          <w:rFonts w:ascii="Arial" w:hAnsi="Arial" w:cs="Arial"/>
          <w:sz w:val="20"/>
          <w:szCs w:val="20"/>
        </w:rPr>
        <w:t>.</w:t>
      </w:r>
    </w:p>
    <w:p w:rsidR="00F05414" w:rsidRPr="00905312" w:rsidRDefault="00F05414" w:rsidP="009F09F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25527" w:rsidRPr="00905312" w:rsidRDefault="00C25527" w:rsidP="00C255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5312">
        <w:rPr>
          <w:rFonts w:ascii="Arial" w:hAnsi="Arial" w:cs="Arial"/>
          <w:sz w:val="20"/>
          <w:szCs w:val="20"/>
        </w:rPr>
        <w:t>During FY1</w:t>
      </w:r>
      <w:r w:rsidR="00CA3E2A" w:rsidRPr="00905312">
        <w:rPr>
          <w:rFonts w:ascii="Arial" w:hAnsi="Arial" w:cs="Arial"/>
          <w:sz w:val="20"/>
          <w:szCs w:val="20"/>
        </w:rPr>
        <w:t>5</w:t>
      </w:r>
      <w:r w:rsidRPr="00905312">
        <w:rPr>
          <w:rFonts w:ascii="Arial" w:hAnsi="Arial" w:cs="Arial"/>
          <w:sz w:val="20"/>
          <w:szCs w:val="20"/>
        </w:rPr>
        <w:t>, the University spent a total of $2</w:t>
      </w:r>
      <w:r w:rsidR="00CA3E2A" w:rsidRPr="00905312">
        <w:rPr>
          <w:rFonts w:ascii="Arial" w:hAnsi="Arial" w:cs="Arial"/>
          <w:sz w:val="20"/>
          <w:szCs w:val="20"/>
        </w:rPr>
        <w:t>5</w:t>
      </w:r>
      <w:r w:rsidR="005B6C1D" w:rsidRPr="00905312">
        <w:rPr>
          <w:rFonts w:ascii="Arial" w:hAnsi="Arial" w:cs="Arial"/>
          <w:sz w:val="20"/>
          <w:szCs w:val="20"/>
        </w:rPr>
        <w:t>9</w:t>
      </w:r>
      <w:r w:rsidR="008577C9" w:rsidRPr="00905312">
        <w:rPr>
          <w:rFonts w:ascii="Arial" w:hAnsi="Arial" w:cs="Arial"/>
          <w:sz w:val="20"/>
          <w:szCs w:val="20"/>
        </w:rPr>
        <w:t>,</w:t>
      </w:r>
      <w:r w:rsidR="00CA3E2A" w:rsidRPr="00905312">
        <w:rPr>
          <w:rFonts w:ascii="Arial" w:hAnsi="Arial" w:cs="Arial"/>
          <w:sz w:val="20"/>
          <w:szCs w:val="20"/>
        </w:rPr>
        <w:t>955</w:t>
      </w:r>
      <w:r w:rsidR="008577C9" w:rsidRPr="00905312">
        <w:rPr>
          <w:rFonts w:ascii="Arial" w:hAnsi="Arial" w:cs="Arial"/>
          <w:sz w:val="20"/>
          <w:szCs w:val="20"/>
        </w:rPr>
        <w:t>,</w:t>
      </w:r>
      <w:r w:rsidR="00CA3E2A" w:rsidRPr="00905312">
        <w:rPr>
          <w:rFonts w:ascii="Arial" w:hAnsi="Arial" w:cs="Arial"/>
          <w:sz w:val="20"/>
          <w:szCs w:val="20"/>
        </w:rPr>
        <w:t>530</w:t>
      </w:r>
      <w:r w:rsidRPr="00905312">
        <w:rPr>
          <w:rFonts w:ascii="Arial" w:hAnsi="Arial" w:cs="Arial"/>
          <w:sz w:val="20"/>
          <w:szCs w:val="20"/>
        </w:rPr>
        <w:t xml:space="preserve"> with all suppliers, large and small</w:t>
      </w:r>
      <w:r w:rsidR="0063783F">
        <w:rPr>
          <w:rFonts w:ascii="Arial" w:hAnsi="Arial" w:cs="Arial"/>
          <w:sz w:val="20"/>
          <w:szCs w:val="20"/>
        </w:rPr>
        <w:t>.</w:t>
      </w:r>
      <w:r w:rsidR="00BC7531">
        <w:rPr>
          <w:rFonts w:ascii="Arial" w:hAnsi="Arial" w:cs="Arial"/>
          <w:sz w:val="20"/>
          <w:szCs w:val="20"/>
        </w:rPr>
        <w:t xml:space="preserve"> </w:t>
      </w:r>
      <w:r w:rsidR="0025016C">
        <w:rPr>
          <w:rFonts w:ascii="Arial" w:hAnsi="Arial" w:cs="Arial"/>
          <w:sz w:val="20"/>
          <w:szCs w:val="20"/>
        </w:rPr>
        <w:t>$15,290,594</w:t>
      </w:r>
      <w:r w:rsidR="00BC7531">
        <w:rPr>
          <w:rFonts w:ascii="Arial" w:hAnsi="Arial" w:cs="Arial"/>
          <w:sz w:val="20"/>
          <w:szCs w:val="20"/>
        </w:rPr>
        <w:t xml:space="preserve"> </w:t>
      </w:r>
      <w:r w:rsidR="0063783F">
        <w:rPr>
          <w:rFonts w:ascii="Arial" w:hAnsi="Arial" w:cs="Arial"/>
          <w:sz w:val="20"/>
          <w:szCs w:val="20"/>
        </w:rPr>
        <w:t>was</w:t>
      </w:r>
      <w:r w:rsidR="00BC7531">
        <w:rPr>
          <w:rFonts w:ascii="Arial" w:hAnsi="Arial" w:cs="Arial"/>
          <w:sz w:val="20"/>
          <w:szCs w:val="20"/>
        </w:rPr>
        <w:t xml:space="preserve"> spen</w:t>
      </w:r>
      <w:r w:rsidR="0063783F">
        <w:rPr>
          <w:rFonts w:ascii="Arial" w:hAnsi="Arial" w:cs="Arial"/>
          <w:sz w:val="20"/>
          <w:szCs w:val="20"/>
        </w:rPr>
        <w:t>t</w:t>
      </w:r>
      <w:r w:rsidR="0025016C">
        <w:rPr>
          <w:rFonts w:ascii="Arial" w:hAnsi="Arial" w:cs="Arial"/>
          <w:sz w:val="20"/>
          <w:szCs w:val="20"/>
        </w:rPr>
        <w:t xml:space="preserve"> </w:t>
      </w:r>
      <w:r w:rsidR="0063783F">
        <w:rPr>
          <w:rFonts w:ascii="Arial" w:hAnsi="Arial" w:cs="Arial"/>
          <w:sz w:val="20"/>
          <w:szCs w:val="20"/>
        </w:rPr>
        <w:t>with</w:t>
      </w:r>
      <w:r w:rsidR="0025016C">
        <w:rPr>
          <w:rFonts w:ascii="Arial" w:hAnsi="Arial" w:cs="Arial"/>
          <w:sz w:val="20"/>
          <w:szCs w:val="20"/>
        </w:rPr>
        <w:t xml:space="preserve"> SMV/WBEs</w:t>
      </w:r>
      <w:r w:rsidR="00BC7531">
        <w:rPr>
          <w:rFonts w:ascii="Arial" w:hAnsi="Arial" w:cs="Arial"/>
          <w:sz w:val="20"/>
          <w:szCs w:val="20"/>
        </w:rPr>
        <w:t xml:space="preserve"> or 5.9%.</w:t>
      </w:r>
    </w:p>
    <w:p w:rsidR="00C25527" w:rsidRPr="00905312" w:rsidRDefault="00C25527" w:rsidP="00C255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5EB2" w:rsidRDefault="00BC7531" w:rsidP="009F09F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Charts 1 &amp; 2 below reflect SMV/WBE spending since fiscal year </w:t>
      </w:r>
      <w:r w:rsidR="0063783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09.  </w:t>
      </w:r>
      <w:r w:rsidR="009B3742">
        <w:rPr>
          <w:rFonts w:ascii="Arial" w:hAnsi="Arial" w:cs="Arial"/>
          <w:sz w:val="20"/>
          <w:szCs w:val="20"/>
        </w:rPr>
        <w:t>Although</w:t>
      </w:r>
      <w:r>
        <w:rPr>
          <w:rFonts w:ascii="Arial" w:hAnsi="Arial" w:cs="Arial"/>
          <w:sz w:val="20"/>
          <w:szCs w:val="20"/>
        </w:rPr>
        <w:t xml:space="preserve"> not required</w:t>
      </w:r>
      <w:r w:rsidR="00935EB2">
        <w:rPr>
          <w:rFonts w:ascii="Arial" w:hAnsi="Arial" w:cs="Arial"/>
          <w:sz w:val="20"/>
          <w:szCs w:val="20"/>
        </w:rPr>
        <w:t>,</w:t>
      </w:r>
      <w:r w:rsidR="009B3742">
        <w:rPr>
          <w:rFonts w:ascii="Arial" w:hAnsi="Arial" w:cs="Arial"/>
          <w:sz w:val="20"/>
          <w:szCs w:val="20"/>
        </w:rPr>
        <w:t xml:space="preserve"> </w:t>
      </w:r>
      <w:r w:rsidR="00935EB2">
        <w:rPr>
          <w:rFonts w:ascii="Arial" w:hAnsi="Arial" w:cs="Arial"/>
          <w:sz w:val="20"/>
          <w:szCs w:val="20"/>
        </w:rPr>
        <w:t>FSU spend with certified suppliers have been greater than with non-certified suppliers since FY 12.</w:t>
      </w:r>
      <w:r w:rsidR="0063783F">
        <w:rPr>
          <w:rFonts w:ascii="Arial" w:hAnsi="Arial" w:cs="Arial"/>
          <w:sz w:val="20"/>
          <w:szCs w:val="20"/>
        </w:rPr>
        <w:t xml:space="preserve">  The university</w:t>
      </w:r>
      <w:r w:rsidR="00935EB2">
        <w:rPr>
          <w:rFonts w:ascii="Arial" w:hAnsi="Arial" w:cs="Arial"/>
          <w:sz w:val="20"/>
          <w:szCs w:val="20"/>
        </w:rPr>
        <w:t xml:space="preserve"> spend on commodities </w:t>
      </w:r>
      <w:r w:rsidR="0063783F">
        <w:rPr>
          <w:rFonts w:ascii="Arial" w:hAnsi="Arial" w:cs="Arial"/>
          <w:sz w:val="20"/>
          <w:szCs w:val="20"/>
        </w:rPr>
        <w:t>reflects a downward trend</w:t>
      </w:r>
      <w:r w:rsidR="00935EB2">
        <w:rPr>
          <w:rFonts w:ascii="Arial" w:hAnsi="Arial" w:cs="Arial"/>
          <w:sz w:val="20"/>
          <w:szCs w:val="20"/>
        </w:rPr>
        <w:t xml:space="preserve"> while contractual services is trending upward.</w:t>
      </w:r>
      <w:r w:rsidR="0063783F">
        <w:rPr>
          <w:rFonts w:ascii="Arial" w:hAnsi="Arial" w:cs="Arial"/>
          <w:sz w:val="20"/>
          <w:szCs w:val="20"/>
        </w:rPr>
        <w:t xml:space="preserve">  Construction and Architecture/Engineering is also trending downward.</w:t>
      </w:r>
    </w:p>
    <w:p w:rsidR="00043A00" w:rsidRDefault="00043A00" w:rsidP="009F09F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5016C" w:rsidRDefault="0025016C" w:rsidP="009F09F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5016C" w:rsidRDefault="0025016C" w:rsidP="009F09F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4DB4739" wp14:editId="5BC59D92">
            <wp:extent cx="6781800" cy="3124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4405" w:rsidRDefault="00844405" w:rsidP="0025016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3783F" w:rsidRDefault="0063783F" w:rsidP="0025016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3783F" w:rsidRDefault="0063783F" w:rsidP="0025016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5016C" w:rsidRDefault="0025016C" w:rsidP="0025016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46E33B7E" wp14:editId="2CCE361B">
            <wp:extent cx="6781800" cy="3467100"/>
            <wp:effectExtent l="0" t="0" r="19050" b="1905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4405" w:rsidRDefault="00844405" w:rsidP="00F77300">
      <w:pPr>
        <w:ind w:left="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4405" w:rsidRDefault="00844405" w:rsidP="00F77300">
      <w:pPr>
        <w:ind w:left="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73EC2" w:rsidRDefault="00573EC2" w:rsidP="00F77300">
      <w:pPr>
        <w:ind w:left="720"/>
        <w:jc w:val="center"/>
        <w:rPr>
          <w:rFonts w:ascii="Arial" w:hAnsi="Arial" w:cs="Arial"/>
        </w:rPr>
      </w:pPr>
    </w:p>
    <w:p w:rsidR="000B48DB" w:rsidRDefault="000B48DB">
      <w:pPr>
        <w:rPr>
          <w:rFonts w:ascii="Arial" w:hAnsi="Arial" w:cs="Arial"/>
        </w:rPr>
      </w:pPr>
    </w:p>
    <w:p w:rsidR="009F09FC" w:rsidRDefault="009F09FC" w:rsidP="005E2299">
      <w:pPr>
        <w:ind w:left="720"/>
        <w:rPr>
          <w:rFonts w:ascii="Arial" w:hAnsi="Arial" w:cs="Arial"/>
          <w:b/>
          <w:bCs/>
          <w:sz w:val="20"/>
          <w:u w:val="single"/>
        </w:rPr>
      </w:pPr>
    </w:p>
    <w:tbl>
      <w:tblPr>
        <w:tblW w:w="5304" w:type="pct"/>
        <w:tblInd w:w="-3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7"/>
        <w:gridCol w:w="632"/>
        <w:gridCol w:w="541"/>
        <w:gridCol w:w="1170"/>
        <w:gridCol w:w="541"/>
        <w:gridCol w:w="1170"/>
        <w:gridCol w:w="718"/>
        <w:gridCol w:w="1081"/>
        <w:gridCol w:w="630"/>
        <w:gridCol w:w="1081"/>
        <w:gridCol w:w="812"/>
        <w:gridCol w:w="1168"/>
      </w:tblGrid>
      <w:tr w:rsidR="00A06050" w:rsidRPr="00C40B74" w:rsidTr="00C40B74">
        <w:trPr>
          <w:trHeight w:val="268"/>
        </w:trPr>
        <w:tc>
          <w:tcPr>
            <w:tcW w:w="5000" w:type="pct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A06050" w:rsidRPr="00C40B74" w:rsidRDefault="00E4606C" w:rsidP="0063783F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4D7860">
              <w:rPr>
                <w:rFonts w:ascii="Arial" w:hAnsi="Arial" w:cs="Arial"/>
                <w:b/>
                <w:bCs/>
                <w:sz w:val="20"/>
                <w:u w:val="single"/>
              </w:rPr>
              <w:lastRenderedPageBreak/>
              <w:t xml:space="preserve">FSU Annual Small/Minority Business Expenditures Report </w:t>
            </w:r>
            <w:r w:rsidR="00821101">
              <w:rPr>
                <w:rFonts w:ascii="Arial" w:hAnsi="Arial" w:cs="Arial"/>
                <w:b/>
                <w:bCs/>
                <w:sz w:val="20"/>
                <w:u w:val="single"/>
              </w:rPr>
              <w:t>FY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15</w:t>
            </w:r>
          </w:p>
        </w:tc>
      </w:tr>
      <w:tr w:rsidR="00A06050" w:rsidRPr="00C40B74" w:rsidTr="00C40B74">
        <w:trPr>
          <w:trHeight w:val="268"/>
        </w:trPr>
        <w:tc>
          <w:tcPr>
            <w:tcW w:w="5000" w:type="pct"/>
            <w:gridSpan w:val="1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D718EC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July 1, 201</w:t>
            </w:r>
            <w:r w:rsidR="00D718EC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to June 30, 201</w:t>
            </w:r>
            <w:r w:rsidR="00D718EC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</w:tr>
      <w:tr w:rsidR="00A06050" w:rsidRPr="00C40B74" w:rsidTr="00C40B74">
        <w:trPr>
          <w:trHeight w:val="73"/>
        </w:trPr>
        <w:tc>
          <w:tcPr>
            <w:tcW w:w="5000" w:type="pct"/>
            <w:gridSpan w:val="12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540115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color w:val="540115"/>
                <w:sz w:val="14"/>
                <w:szCs w:val="14"/>
                <w:lang w:eastAsia="zh-CN"/>
              </w:rPr>
            </w:pPr>
          </w:p>
        </w:tc>
      </w:tr>
      <w:tr w:rsidR="00C40B74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CATEGORY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D43003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3"/>
                <w:szCs w:val="13"/>
                <w:lang w:eastAsia="zh-CN"/>
              </w:rPr>
            </w:pPr>
            <w:r w:rsidRPr="00D43003">
              <w:rPr>
                <w:rFonts w:ascii="Arial" w:hAnsi="Arial" w:cs="Arial"/>
                <w:b/>
                <w:bCs/>
                <w:sz w:val="13"/>
                <w:szCs w:val="13"/>
              </w:rPr>
              <w:t>MBE CODE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CONSTRUCTION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ARCH &amp; ENG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COMMODITIES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SERVICES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NO.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DOLLARS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NO.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DOLLARS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NO.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DOLLARS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NO.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DOLLARS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NO.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DOLLARS</w:t>
            </w:r>
          </w:p>
        </w:tc>
      </w:tr>
      <w:tr w:rsidR="00D43003" w:rsidRPr="00C40B74" w:rsidTr="00D43003">
        <w:trPr>
          <w:trHeight w:val="159"/>
        </w:trPr>
        <w:tc>
          <w:tcPr>
            <w:tcW w:w="92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540115"/>
            <w:noWrap/>
            <w:vAlign w:val="bottom"/>
          </w:tcPr>
          <w:p w:rsidR="00A06050" w:rsidRPr="00C40B74" w:rsidRDefault="00A06050" w:rsidP="00266FB4">
            <w:pPr>
              <w:rPr>
                <w:rFonts w:ascii="Arial" w:eastAsia="SimSun" w:hAnsi="Arial" w:cs="Arial"/>
                <w:b/>
                <w:bCs/>
                <w:color w:val="540115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0115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color w:val="540115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0115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color w:val="540115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0115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color w:val="540115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0115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color w:val="540115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0115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color w:val="540115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0115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color w:val="540115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0115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color w:val="540115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0115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color w:val="540115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0115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color w:val="540115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0115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color w:val="540115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540115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color w:val="540115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D43003" w:rsidRPr="00C40B74" w:rsidTr="00D43003">
        <w:trPr>
          <w:trHeight w:val="18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D43003" w:rsidRPr="00C40B74" w:rsidTr="00D43003">
        <w:trPr>
          <w:trHeight w:val="305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NON-MBE: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D43003" w:rsidRDefault="00A06050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D43003" w:rsidRDefault="00A06050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D43003" w:rsidRDefault="00A06050" w:rsidP="00266F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D43003" w:rsidRDefault="00A06050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D43003" w:rsidRDefault="00A06050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D43003" w:rsidRDefault="00A06050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D43003" w:rsidRDefault="00A06050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D43003" w:rsidRDefault="00A06050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D43003" w:rsidRDefault="00A06050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D43003" w:rsidRDefault="00A06050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A06050" w:rsidRPr="00D43003" w:rsidRDefault="00A06050" w:rsidP="00266FB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C40B74" w:rsidRDefault="00B82E7B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NON-MINORITY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28,006,218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C60DA1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2,169,745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3</w:t>
            </w:r>
            <w:r w:rsidR="0011681D" w:rsidRPr="00D43003">
              <w:rPr>
                <w:rFonts w:ascii="Arial" w:hAnsi="Arial" w:cs="Arial"/>
                <w:sz w:val="14"/>
                <w:szCs w:val="14"/>
              </w:rPr>
              <w:t>2</w:t>
            </w:r>
            <w:r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="0011681D" w:rsidRPr="00D43003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C37192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65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Pr="00D43003">
              <w:rPr>
                <w:rFonts w:ascii="Arial" w:hAnsi="Arial" w:cs="Arial"/>
                <w:sz w:val="14"/>
                <w:szCs w:val="14"/>
              </w:rPr>
              <w:t>182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Pr="00D43003">
              <w:rPr>
                <w:rFonts w:ascii="Arial" w:hAnsi="Arial" w:cs="Arial"/>
                <w:sz w:val="14"/>
                <w:szCs w:val="14"/>
              </w:rPr>
              <w:t>767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7,56</w:t>
            </w:r>
            <w:r w:rsidR="00C53210" w:rsidRPr="00D430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C532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15,72</w:t>
            </w:r>
            <w:r w:rsidR="00C53210" w:rsidRPr="00D43003">
              <w:rPr>
                <w:rFonts w:ascii="Arial" w:hAnsi="Arial" w:cs="Arial"/>
                <w:sz w:val="14"/>
                <w:szCs w:val="14"/>
              </w:rPr>
              <w:t>4</w:t>
            </w:r>
            <w:r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="00C53210" w:rsidRPr="00D43003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4</w:t>
            </w:r>
            <w:r w:rsidR="00D50688" w:rsidRPr="00D43003">
              <w:rPr>
                <w:rFonts w:ascii="Arial" w:hAnsi="Arial" w:cs="Arial"/>
                <w:sz w:val="14"/>
                <w:szCs w:val="14"/>
              </w:rPr>
              <w:t>0</w:t>
            </w:r>
            <w:r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="00D50688" w:rsidRPr="00D43003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D5068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$1</w:t>
            </w:r>
            <w:r w:rsidR="00D50688" w:rsidRPr="00D43003">
              <w:rPr>
                <w:rFonts w:ascii="Arial" w:hAnsi="Arial" w:cs="Arial"/>
                <w:sz w:val="14"/>
                <w:szCs w:val="14"/>
              </w:rPr>
              <w:t>11</w:t>
            </w:r>
            <w:r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="00D50688" w:rsidRPr="00D43003">
              <w:rPr>
                <w:rFonts w:ascii="Arial" w:hAnsi="Arial" w:cs="Arial"/>
                <w:sz w:val="14"/>
                <w:szCs w:val="14"/>
              </w:rPr>
              <w:t>082</w:t>
            </w:r>
            <w:r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="00D50688" w:rsidRPr="00D43003">
              <w:rPr>
                <w:rFonts w:ascii="Arial" w:hAnsi="Arial" w:cs="Arial"/>
                <w:sz w:val="14"/>
                <w:szCs w:val="14"/>
              </w:rPr>
              <w:t>935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C40B74" w:rsidRDefault="00B82E7B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SMALL BUS ST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19,192,262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C60DA1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2,654,362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11681D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8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Pr="00D43003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C37192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8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Pr="00D43003">
              <w:rPr>
                <w:rFonts w:ascii="Arial" w:hAnsi="Arial" w:cs="Arial"/>
                <w:sz w:val="14"/>
                <w:szCs w:val="14"/>
              </w:rPr>
              <w:t>839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Pr="00D43003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C53210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5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Pr="00D43003">
              <w:rPr>
                <w:rFonts w:ascii="Arial" w:hAnsi="Arial" w:cs="Arial"/>
                <w:sz w:val="14"/>
                <w:szCs w:val="14"/>
              </w:rPr>
              <w:t>896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C53210" w:rsidP="00C532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8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Pr="00D43003">
              <w:rPr>
                <w:rFonts w:ascii="Arial" w:hAnsi="Arial" w:cs="Arial"/>
                <w:sz w:val="14"/>
                <w:szCs w:val="14"/>
              </w:rPr>
              <w:t>766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Pr="00D43003">
              <w:rPr>
                <w:rFonts w:ascii="Arial" w:hAnsi="Arial" w:cs="Arial"/>
                <w:sz w:val="14"/>
                <w:szCs w:val="14"/>
              </w:rPr>
              <w:t>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1</w:t>
            </w:r>
            <w:r w:rsidR="00D50688" w:rsidRPr="00D43003">
              <w:rPr>
                <w:rFonts w:ascii="Arial" w:hAnsi="Arial" w:cs="Arial"/>
                <w:sz w:val="14"/>
                <w:szCs w:val="14"/>
              </w:rPr>
              <w:t>4</w:t>
            </w:r>
            <w:r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="00D50688" w:rsidRPr="00D43003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$</w:t>
            </w:r>
            <w:r w:rsidR="00D50688" w:rsidRPr="00D43003">
              <w:rPr>
                <w:rFonts w:ascii="Arial" w:hAnsi="Arial" w:cs="Arial"/>
                <w:sz w:val="14"/>
                <w:szCs w:val="14"/>
              </w:rPr>
              <w:t>39</w:t>
            </w:r>
            <w:r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="00176F15" w:rsidRPr="00D43003">
              <w:rPr>
                <w:rFonts w:ascii="Arial" w:hAnsi="Arial" w:cs="Arial"/>
                <w:sz w:val="14"/>
                <w:szCs w:val="14"/>
              </w:rPr>
              <w:t>451</w:t>
            </w:r>
            <w:r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="00176F15" w:rsidRPr="00D43003">
              <w:rPr>
                <w:rFonts w:ascii="Arial" w:hAnsi="Arial" w:cs="Arial"/>
                <w:sz w:val="14"/>
                <w:szCs w:val="14"/>
              </w:rPr>
              <w:t>898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C40B74" w:rsidRDefault="00B82E7B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SMALL BUS FED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384,397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C60DA1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31,232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2,</w:t>
            </w:r>
            <w:r w:rsidR="0011681D" w:rsidRPr="00D43003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C37192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8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Pr="00D43003">
              <w:rPr>
                <w:rFonts w:ascii="Arial" w:hAnsi="Arial" w:cs="Arial"/>
                <w:sz w:val="14"/>
                <w:szCs w:val="14"/>
              </w:rPr>
              <w:t>673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Pr="00D43003">
              <w:rPr>
                <w:rFonts w:ascii="Arial" w:hAnsi="Arial" w:cs="Arial"/>
                <w:sz w:val="14"/>
                <w:szCs w:val="14"/>
              </w:rPr>
              <w:t>693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9</w:t>
            </w:r>
            <w:r w:rsidR="00C53210" w:rsidRPr="00D43003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C53210" w:rsidP="00C532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4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Pr="00D43003">
              <w:rPr>
                <w:rFonts w:ascii="Arial" w:hAnsi="Arial" w:cs="Arial"/>
                <w:sz w:val="14"/>
                <w:szCs w:val="14"/>
              </w:rPr>
              <w:t>541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Pr="00D43003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3,</w:t>
            </w:r>
            <w:r w:rsidR="00D50688" w:rsidRPr="00D43003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$13,6</w:t>
            </w:r>
            <w:r w:rsidR="00176F15" w:rsidRPr="00D43003">
              <w:rPr>
                <w:rFonts w:ascii="Arial" w:hAnsi="Arial" w:cs="Arial"/>
                <w:sz w:val="14"/>
                <w:szCs w:val="14"/>
              </w:rPr>
              <w:t>30</w:t>
            </w:r>
            <w:r w:rsidRPr="00D43003">
              <w:rPr>
                <w:rFonts w:ascii="Arial" w:hAnsi="Arial" w:cs="Arial"/>
                <w:sz w:val="14"/>
                <w:szCs w:val="14"/>
              </w:rPr>
              <w:t>,679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C40B74" w:rsidRDefault="008C0672" w:rsidP="00266F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SBA CERT DISADV FED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C1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394,093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6,916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C532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1,066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$402,074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C40B74" w:rsidRDefault="00B82E7B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MBE FED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C37192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6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Pr="00D43003">
              <w:rPr>
                <w:rFonts w:ascii="Arial" w:hAnsi="Arial" w:cs="Arial"/>
                <w:sz w:val="14"/>
                <w:szCs w:val="14"/>
              </w:rPr>
              <w:t>777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C53210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10,80</w:t>
            </w:r>
            <w:r w:rsidR="00B82E7B"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7B" w:rsidRPr="00D43003" w:rsidRDefault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B82E7B" w:rsidRPr="00D43003" w:rsidRDefault="00B82E7B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$1</w:t>
            </w:r>
            <w:r w:rsidR="00176F15" w:rsidRPr="00D43003">
              <w:rPr>
                <w:rFonts w:ascii="Arial" w:hAnsi="Arial" w:cs="Arial"/>
                <w:sz w:val="14"/>
                <w:szCs w:val="14"/>
              </w:rPr>
              <w:t>7</w:t>
            </w:r>
            <w:r w:rsidRPr="00D43003">
              <w:rPr>
                <w:rFonts w:ascii="Arial" w:hAnsi="Arial" w:cs="Arial"/>
                <w:sz w:val="14"/>
                <w:szCs w:val="14"/>
              </w:rPr>
              <w:t>,</w:t>
            </w:r>
            <w:r w:rsidR="00176F15" w:rsidRPr="00D43003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C40B74" w:rsidRDefault="008C0672" w:rsidP="00266F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HUB ZONE FED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D1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4,329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C532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8C0672" w:rsidRPr="00D43003" w:rsidRDefault="008C0672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$4,329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GOV'T AGENCIES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816,782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35,989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715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18,023,724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636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C532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4,912,681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1,362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$23,789,175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NON-PROFIT ORG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6,018,489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C532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9,636,957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572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$15,655,446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P.R.I.D.E.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29,696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C532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2,050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$31,746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TOTAL NON-MBE: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D142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3003">
              <w:rPr>
                <w:rFonts w:ascii="Arial" w:hAnsi="Arial" w:cs="Arial"/>
                <w:b/>
                <w:bCs/>
                <w:sz w:val="14"/>
                <w:szCs w:val="14"/>
              </w:rPr>
              <w:t>655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B82E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3003">
              <w:rPr>
                <w:rFonts w:ascii="Arial" w:hAnsi="Arial" w:cs="Arial"/>
                <w:b/>
                <w:bCs/>
                <w:sz w:val="14"/>
                <w:szCs w:val="14"/>
              </w:rPr>
              <w:t>$60,058,470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C60D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3003">
              <w:rPr>
                <w:rFonts w:ascii="Arial" w:hAnsi="Arial" w:cs="Arial"/>
                <w:b/>
                <w:bCs/>
                <w:sz w:val="14"/>
                <w:szCs w:val="14"/>
              </w:rPr>
              <w:t>281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C60D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3003">
              <w:rPr>
                <w:rFonts w:ascii="Arial" w:hAnsi="Arial" w:cs="Arial"/>
                <w:b/>
                <w:bCs/>
                <w:sz w:val="14"/>
                <w:szCs w:val="14"/>
              </w:rPr>
              <w:t>$10,235,008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E939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3003">
              <w:rPr>
                <w:rFonts w:ascii="Arial" w:hAnsi="Arial" w:cs="Arial"/>
                <w:b/>
                <w:bCs/>
                <w:sz w:val="14"/>
                <w:szCs w:val="14"/>
              </w:rPr>
              <w:t>43,264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C37192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43003">
              <w:rPr>
                <w:rFonts w:ascii="Arial" w:hAnsi="Arial" w:cs="Arial"/>
                <w:b/>
                <w:bCs/>
                <w:sz w:val="13"/>
                <w:szCs w:val="13"/>
              </w:rPr>
              <w:t>$109,598,117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C5321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43003">
              <w:rPr>
                <w:rFonts w:ascii="Arial" w:hAnsi="Arial" w:cs="Arial"/>
                <w:b/>
                <w:bCs/>
                <w:sz w:val="13"/>
                <w:szCs w:val="13"/>
              </w:rPr>
              <w:t>15,242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C5321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3003">
              <w:rPr>
                <w:rFonts w:ascii="Arial" w:hAnsi="Arial" w:cs="Arial"/>
                <w:b/>
                <w:bCs/>
                <w:sz w:val="14"/>
                <w:szCs w:val="14"/>
              </w:rPr>
              <w:t>$49,963,686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D506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3003">
              <w:rPr>
                <w:rFonts w:ascii="Arial" w:hAnsi="Arial" w:cs="Arial"/>
                <w:b/>
                <w:bCs/>
                <w:sz w:val="14"/>
                <w:szCs w:val="14"/>
              </w:rPr>
              <w:t>59,442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176F1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3003">
              <w:rPr>
                <w:rFonts w:ascii="Arial" w:hAnsi="Arial" w:cs="Arial"/>
                <w:b/>
                <w:bCs/>
                <w:sz w:val="14"/>
                <w:szCs w:val="14"/>
              </w:rPr>
              <w:t>$229,855,281</w:t>
            </w:r>
          </w:p>
        </w:tc>
      </w:tr>
      <w:tr w:rsidR="00D43003" w:rsidRPr="00C40B74" w:rsidTr="00D43003">
        <w:trPr>
          <w:trHeight w:val="204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CMBE: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AFRICAN AMERICAN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8,028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4,080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532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237,100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$249,208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HISPANIC AMERICAN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216,631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532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75,216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$413,908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ASIAN AMERICAN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J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4,415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1,660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552,352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532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162,730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$721,157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NATIVE AMERICAN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532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$14,738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AMERICAN WOMAN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5,963,523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29,720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952,002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462,753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$7,407,997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TOTAL CMBE: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B82E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$6,098,027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B82E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C60D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$31,380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E939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C3719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$1,725,803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C5321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$951,799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$8,807,008</w:t>
            </w:r>
          </w:p>
        </w:tc>
      </w:tr>
      <w:tr w:rsidR="00D43003" w:rsidRPr="00C40B74" w:rsidTr="00D43003">
        <w:trPr>
          <w:trHeight w:val="204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NON-CMBE: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AFRICAN AMERICAN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2,485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64,755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247,608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$314,848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HISPANIC AMERICAN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56,828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314,922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$372,449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ASIAN AMERICAN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285,931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68,076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$354,160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NATIVE AMERICAN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Q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12,235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48,253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$60,488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AMERICAN WOMAN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1,071,275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40B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16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1,912,600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D43003" w:rsidRDefault="00D43003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003">
              <w:rPr>
                <w:rFonts w:ascii="Arial" w:hAnsi="Arial" w:cs="Arial"/>
                <w:sz w:val="14"/>
                <w:szCs w:val="14"/>
              </w:rPr>
              <w:t>1,061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1,470,150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1,999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$4,454,025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TOTAL NON-CMBE: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D1423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$1,074,459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C60D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$152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E939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1,089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C3719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$2,332,350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C5321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$2,149,009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$5,555,970</w:t>
            </w:r>
          </w:p>
        </w:tc>
      </w:tr>
      <w:tr w:rsidR="00D43003" w:rsidRPr="00C40B74" w:rsidTr="00D43003">
        <w:trPr>
          <w:trHeight w:val="221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NON-PROFIT: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MIN BD DIRS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8,418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$33,418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MIN EMPLOYEES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371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$0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MIN COMM SERVED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U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E939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9214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4,923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4,987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$9,910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OTHER NON PROF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300F3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E939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9214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919,845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C532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1,297,647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$2,217,492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TOTAL NON-PROF: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D1423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C60D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E939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9214A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$933,185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C5321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$1,327,634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$2,260,819</w:t>
            </w:r>
          </w:p>
        </w:tc>
      </w:tr>
      <w:tr w:rsidR="00D43003" w:rsidRPr="00C40B74" w:rsidTr="00D43003">
        <w:trPr>
          <w:trHeight w:val="221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OTHER CLASSIF: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B20FB5" w:rsidRPr="00C40B74" w:rsidRDefault="00B20FB5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CERT SVC DISABLED VET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W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$2,000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2"/>
                <w:szCs w:val="12"/>
              </w:rPr>
            </w:pPr>
            <w:r w:rsidRPr="00C40B74">
              <w:rPr>
                <w:rFonts w:ascii="Arial" w:hAnsi="Arial" w:cs="Arial"/>
                <w:sz w:val="12"/>
                <w:szCs w:val="12"/>
              </w:rPr>
              <w:t>NON-CERT SVC DISABLED VET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F2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9214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280,298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76,565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$356,863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NO SELECTION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Z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300F3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E939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9214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12,342,580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775,008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1,070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$13,117,588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6FB4">
            <w:pPr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TOTAL OTH CLSSF: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8C225F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C60DA1">
            <w:pPr>
              <w:jc w:val="righ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E939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9214A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3003">
              <w:rPr>
                <w:rFonts w:ascii="Arial" w:hAnsi="Arial" w:cs="Arial"/>
                <w:b/>
                <w:bCs/>
                <w:sz w:val="14"/>
                <w:szCs w:val="14"/>
              </w:rPr>
              <w:t>$12,622,878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C5321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235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$853,573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D506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176F1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$13,476,451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A06050" w:rsidRPr="00C40B74" w:rsidRDefault="00A06050" w:rsidP="008C225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43003" w:rsidRPr="00C40B74" w:rsidTr="00D43003">
        <w:trPr>
          <w:trHeight w:val="268"/>
        </w:trPr>
        <w:tc>
          <w:tcPr>
            <w:tcW w:w="92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GRAND  TOTAL: 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6F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C60D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$67,230,956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C60D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7D689C" w:rsidP="00C60D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  <w:r w:rsidR="00D43003">
              <w:rPr>
                <w:rFonts w:ascii="Arial" w:hAnsi="Arial" w:cs="Arial"/>
                <w:b/>
                <w:bCs/>
                <w:sz w:val="16"/>
                <w:szCs w:val="16"/>
              </w:rPr>
              <w:t>10,266,540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C60D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3003">
              <w:rPr>
                <w:rFonts w:ascii="Arial" w:hAnsi="Arial" w:cs="Arial"/>
                <w:b/>
                <w:bCs/>
                <w:sz w:val="14"/>
                <w:szCs w:val="14"/>
              </w:rPr>
              <w:t>46,468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7D689C" w:rsidRDefault="007D689C" w:rsidP="00C60DA1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D689C">
              <w:rPr>
                <w:rFonts w:ascii="Arial" w:hAnsi="Arial" w:cs="Arial"/>
                <w:b/>
                <w:bCs/>
                <w:sz w:val="13"/>
                <w:szCs w:val="13"/>
              </w:rPr>
              <w:t>$</w:t>
            </w:r>
            <w:r w:rsidR="00D43003" w:rsidRPr="007D689C">
              <w:rPr>
                <w:rFonts w:ascii="Arial" w:hAnsi="Arial" w:cs="Arial"/>
                <w:b/>
                <w:bCs/>
                <w:sz w:val="13"/>
                <w:szCs w:val="13"/>
              </w:rPr>
              <w:t>127,212,333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26027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43003">
              <w:rPr>
                <w:rFonts w:ascii="Arial" w:hAnsi="Arial" w:cs="Arial"/>
                <w:b/>
                <w:bCs/>
                <w:sz w:val="13"/>
                <w:szCs w:val="13"/>
              </w:rPr>
              <w:t>17,487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7D689C" w:rsidRDefault="007D689C" w:rsidP="00260270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D689C">
              <w:rPr>
                <w:rFonts w:ascii="Arial" w:hAnsi="Arial" w:cs="Arial"/>
                <w:b/>
                <w:bCs/>
                <w:sz w:val="15"/>
                <w:szCs w:val="15"/>
              </w:rPr>
              <w:t>$</w:t>
            </w:r>
            <w:r w:rsidR="00D43003" w:rsidRPr="007D689C">
              <w:rPr>
                <w:rFonts w:ascii="Arial" w:hAnsi="Arial" w:cs="Arial"/>
                <w:b/>
                <w:bCs/>
                <w:sz w:val="15"/>
                <w:szCs w:val="15"/>
              </w:rPr>
              <w:t>55,245,701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CDC092"/>
            <w:noWrap/>
            <w:vAlign w:val="bottom"/>
          </w:tcPr>
          <w:p w:rsidR="00D43003" w:rsidRPr="00C40B74" w:rsidRDefault="00D43003" w:rsidP="0026027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65,029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CDC092"/>
            <w:noWrap/>
            <w:vAlign w:val="bottom"/>
          </w:tcPr>
          <w:p w:rsidR="00D43003" w:rsidRPr="00D43003" w:rsidRDefault="00D43003" w:rsidP="00C5321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3003">
              <w:rPr>
                <w:rFonts w:ascii="Arial" w:hAnsi="Arial" w:cs="Arial"/>
                <w:b/>
                <w:bCs/>
                <w:sz w:val="14"/>
                <w:szCs w:val="14"/>
              </w:rPr>
              <w:t>$259,955,530</w:t>
            </w:r>
          </w:p>
        </w:tc>
      </w:tr>
    </w:tbl>
    <w:p w:rsidR="009F09FC" w:rsidRPr="00B73121" w:rsidRDefault="009F09FC" w:rsidP="00905312">
      <w:pPr>
        <w:rPr>
          <w:rFonts w:ascii="Arial" w:hAnsi="Arial" w:cs="Arial"/>
        </w:rPr>
      </w:pPr>
      <w:r w:rsidRPr="004D7860">
        <w:rPr>
          <w:rFonts w:ascii="Arial" w:hAnsi="Arial" w:cs="Arial"/>
          <w:b/>
          <w:bCs/>
          <w:sz w:val="14"/>
          <w:szCs w:val="14"/>
        </w:rPr>
        <w:t>SOURCE:  Florida State University P</w:t>
      </w:r>
      <w:r w:rsidR="00E16F44">
        <w:rPr>
          <w:rFonts w:ascii="Arial" w:hAnsi="Arial" w:cs="Arial"/>
          <w:b/>
          <w:bCs/>
          <w:sz w:val="14"/>
          <w:szCs w:val="14"/>
        </w:rPr>
        <w:t>rocurement Services</w:t>
      </w:r>
      <w:r w:rsidRPr="004D7860">
        <w:rPr>
          <w:rFonts w:ascii="Arial" w:hAnsi="Arial" w:cs="Arial"/>
          <w:b/>
          <w:bCs/>
          <w:sz w:val="14"/>
          <w:szCs w:val="14"/>
        </w:rPr>
        <w:t xml:space="preserve">, Facilities, and OMNI/ERP </w:t>
      </w:r>
    </w:p>
    <w:sectPr w:rsidR="009F09FC" w:rsidRPr="00B73121" w:rsidSect="00171ECD">
      <w:footerReference w:type="even" r:id="rId12"/>
      <w:footerReference w:type="defaul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C0" w:rsidRDefault="005515C0">
      <w:r>
        <w:separator/>
      </w:r>
    </w:p>
  </w:endnote>
  <w:endnote w:type="continuationSeparator" w:id="0">
    <w:p w:rsidR="005515C0" w:rsidRDefault="0055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6C" w:rsidRDefault="00250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16C" w:rsidRDefault="002501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933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16C" w:rsidRDefault="002501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2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16C" w:rsidRDefault="002501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C0" w:rsidRDefault="005515C0">
      <w:r>
        <w:separator/>
      </w:r>
    </w:p>
  </w:footnote>
  <w:footnote w:type="continuationSeparator" w:id="0">
    <w:p w:rsidR="005515C0" w:rsidRDefault="0055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E5618"/>
    <w:lvl w:ilvl="0">
      <w:numFmt w:val="decimal"/>
      <w:lvlText w:val="*"/>
      <w:lvlJc w:val="left"/>
    </w:lvl>
  </w:abstractNum>
  <w:abstractNum w:abstractNumId="1" w15:restartNumberingAfterBreak="0">
    <w:nsid w:val="02E82907"/>
    <w:multiLevelType w:val="hybridMultilevel"/>
    <w:tmpl w:val="5044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45A2"/>
    <w:multiLevelType w:val="hybridMultilevel"/>
    <w:tmpl w:val="9F065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B1C3A"/>
    <w:multiLevelType w:val="hybridMultilevel"/>
    <w:tmpl w:val="5044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BD9"/>
    <w:multiLevelType w:val="hybridMultilevel"/>
    <w:tmpl w:val="5044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31D0"/>
    <w:multiLevelType w:val="hybridMultilevel"/>
    <w:tmpl w:val="3438B95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1348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1A445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12004"/>
    <w:multiLevelType w:val="hybridMultilevel"/>
    <w:tmpl w:val="CAB05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6A00"/>
    <w:multiLevelType w:val="hybridMultilevel"/>
    <w:tmpl w:val="9ECED1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C4508"/>
    <w:multiLevelType w:val="hybridMultilevel"/>
    <w:tmpl w:val="233AE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87739"/>
    <w:multiLevelType w:val="hybridMultilevel"/>
    <w:tmpl w:val="5044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A6534"/>
    <w:multiLevelType w:val="hybridMultilevel"/>
    <w:tmpl w:val="A5C86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17360"/>
    <w:multiLevelType w:val="hybridMultilevel"/>
    <w:tmpl w:val="E5523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C50C6"/>
    <w:multiLevelType w:val="hybridMultilevel"/>
    <w:tmpl w:val="5044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73D2D"/>
    <w:multiLevelType w:val="hybridMultilevel"/>
    <w:tmpl w:val="314A7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50A1E"/>
    <w:multiLevelType w:val="hybridMultilevel"/>
    <w:tmpl w:val="9FE6A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B7DCC"/>
    <w:multiLevelType w:val="hybridMultilevel"/>
    <w:tmpl w:val="02B679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DC0B82"/>
    <w:multiLevelType w:val="hybridMultilevel"/>
    <w:tmpl w:val="7A9414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D2C38"/>
    <w:multiLevelType w:val="hybridMultilevel"/>
    <w:tmpl w:val="17B6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B1B58"/>
    <w:multiLevelType w:val="hybridMultilevel"/>
    <w:tmpl w:val="5786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4631"/>
    <w:multiLevelType w:val="hybridMultilevel"/>
    <w:tmpl w:val="2FE01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03AB3"/>
    <w:multiLevelType w:val="hybridMultilevel"/>
    <w:tmpl w:val="4204F0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34941"/>
    <w:multiLevelType w:val="hybridMultilevel"/>
    <w:tmpl w:val="1BC0E6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22021"/>
    <w:multiLevelType w:val="hybridMultilevel"/>
    <w:tmpl w:val="6F987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A5057"/>
    <w:multiLevelType w:val="hybridMultilevel"/>
    <w:tmpl w:val="9B4C1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D294F"/>
    <w:multiLevelType w:val="hybridMultilevel"/>
    <w:tmpl w:val="0AA479A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45C668C"/>
    <w:multiLevelType w:val="hybridMultilevel"/>
    <w:tmpl w:val="B576E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A3EE5"/>
    <w:multiLevelType w:val="hybridMultilevel"/>
    <w:tmpl w:val="0DF002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5CD0"/>
    <w:multiLevelType w:val="hybridMultilevel"/>
    <w:tmpl w:val="BA8408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C5AE6"/>
    <w:multiLevelType w:val="hybridMultilevel"/>
    <w:tmpl w:val="21A28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C7D3E"/>
    <w:multiLevelType w:val="hybridMultilevel"/>
    <w:tmpl w:val="F0766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4"/>
  </w:num>
  <w:num w:numId="4">
    <w:abstractNumId w:val="22"/>
  </w:num>
  <w:num w:numId="5">
    <w:abstractNumId w:val="10"/>
  </w:num>
  <w:num w:numId="6">
    <w:abstractNumId w:val="23"/>
  </w:num>
  <w:num w:numId="7">
    <w:abstractNumId w:val="11"/>
  </w:num>
  <w:num w:numId="8">
    <w:abstractNumId w:val="29"/>
  </w:num>
  <w:num w:numId="9">
    <w:abstractNumId w:val="27"/>
  </w:num>
  <w:num w:numId="10">
    <w:abstractNumId w:val="6"/>
  </w:num>
  <w:num w:numId="11">
    <w:abstractNumId w:val="25"/>
  </w:num>
  <w:num w:numId="12">
    <w:abstractNumId w:val="28"/>
  </w:num>
  <w:num w:numId="13">
    <w:abstractNumId w:val="20"/>
  </w:num>
  <w:num w:numId="14">
    <w:abstractNumId w:val="26"/>
  </w:num>
  <w:num w:numId="15">
    <w:abstractNumId w:val="13"/>
  </w:num>
  <w:num w:numId="16">
    <w:abstractNumId w:val="7"/>
  </w:num>
  <w:num w:numId="17">
    <w:abstractNumId w:val="21"/>
  </w:num>
  <w:num w:numId="18">
    <w:abstractNumId w:val="19"/>
  </w:num>
  <w:num w:numId="19">
    <w:abstractNumId w:val="14"/>
  </w:num>
  <w:num w:numId="20">
    <w:abstractNumId w:val="15"/>
  </w:num>
  <w:num w:numId="21">
    <w:abstractNumId w:val="2"/>
  </w:num>
  <w:num w:numId="22">
    <w:abstractNumId w:val="8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6"/>
  </w:num>
  <w:num w:numId="25">
    <w:abstractNumId w:val="17"/>
  </w:num>
  <w:num w:numId="26">
    <w:abstractNumId w:val="18"/>
  </w:num>
  <w:num w:numId="27">
    <w:abstractNumId w:val="4"/>
  </w:num>
  <w:num w:numId="28">
    <w:abstractNumId w:val="12"/>
  </w:num>
  <w:num w:numId="29">
    <w:abstractNumId w:val="3"/>
  </w:num>
  <w:num w:numId="30">
    <w:abstractNumId w:val="1"/>
  </w:num>
  <w:num w:numId="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FC"/>
    <w:rsid w:val="0000091C"/>
    <w:rsid w:val="00001588"/>
    <w:rsid w:val="0000346E"/>
    <w:rsid w:val="00004430"/>
    <w:rsid w:val="00004B19"/>
    <w:rsid w:val="00007AD7"/>
    <w:rsid w:val="00010943"/>
    <w:rsid w:val="00010A03"/>
    <w:rsid w:val="000120B9"/>
    <w:rsid w:val="00012CBA"/>
    <w:rsid w:val="000132E7"/>
    <w:rsid w:val="00014DA0"/>
    <w:rsid w:val="00015256"/>
    <w:rsid w:val="00015716"/>
    <w:rsid w:val="00016A1E"/>
    <w:rsid w:val="00017E8D"/>
    <w:rsid w:val="000215F9"/>
    <w:rsid w:val="00031212"/>
    <w:rsid w:val="00033A03"/>
    <w:rsid w:val="00033C49"/>
    <w:rsid w:val="0003454F"/>
    <w:rsid w:val="0003679A"/>
    <w:rsid w:val="00036C44"/>
    <w:rsid w:val="000409F6"/>
    <w:rsid w:val="00043A00"/>
    <w:rsid w:val="00043FB0"/>
    <w:rsid w:val="00050E06"/>
    <w:rsid w:val="00051DD1"/>
    <w:rsid w:val="000520B4"/>
    <w:rsid w:val="0005263C"/>
    <w:rsid w:val="00052A94"/>
    <w:rsid w:val="00052DBB"/>
    <w:rsid w:val="0005353C"/>
    <w:rsid w:val="00054536"/>
    <w:rsid w:val="000576E3"/>
    <w:rsid w:val="0006176F"/>
    <w:rsid w:val="00067206"/>
    <w:rsid w:val="00067612"/>
    <w:rsid w:val="00072A95"/>
    <w:rsid w:val="0007482B"/>
    <w:rsid w:val="00075EC2"/>
    <w:rsid w:val="00075EC7"/>
    <w:rsid w:val="000836BE"/>
    <w:rsid w:val="00083825"/>
    <w:rsid w:val="00084052"/>
    <w:rsid w:val="0008421F"/>
    <w:rsid w:val="00085E33"/>
    <w:rsid w:val="000903CB"/>
    <w:rsid w:val="0009288B"/>
    <w:rsid w:val="00093276"/>
    <w:rsid w:val="00096048"/>
    <w:rsid w:val="0009605E"/>
    <w:rsid w:val="0009644E"/>
    <w:rsid w:val="000A00D6"/>
    <w:rsid w:val="000A02B6"/>
    <w:rsid w:val="000A09F6"/>
    <w:rsid w:val="000A372C"/>
    <w:rsid w:val="000A639D"/>
    <w:rsid w:val="000A65E0"/>
    <w:rsid w:val="000A69A0"/>
    <w:rsid w:val="000B2BD3"/>
    <w:rsid w:val="000B4323"/>
    <w:rsid w:val="000B48DB"/>
    <w:rsid w:val="000B4F88"/>
    <w:rsid w:val="000B7368"/>
    <w:rsid w:val="000C01C6"/>
    <w:rsid w:val="000C12CD"/>
    <w:rsid w:val="000C1525"/>
    <w:rsid w:val="000C39D5"/>
    <w:rsid w:val="000C4A96"/>
    <w:rsid w:val="000C565B"/>
    <w:rsid w:val="000C6155"/>
    <w:rsid w:val="000D7199"/>
    <w:rsid w:val="000D7971"/>
    <w:rsid w:val="000E459C"/>
    <w:rsid w:val="000E7EE4"/>
    <w:rsid w:val="000F10FE"/>
    <w:rsid w:val="000F2BA2"/>
    <w:rsid w:val="000F3EF8"/>
    <w:rsid w:val="000F5F95"/>
    <w:rsid w:val="000F7D68"/>
    <w:rsid w:val="00101AFD"/>
    <w:rsid w:val="001042AE"/>
    <w:rsid w:val="001061E4"/>
    <w:rsid w:val="0010783E"/>
    <w:rsid w:val="00110907"/>
    <w:rsid w:val="00110CB1"/>
    <w:rsid w:val="00111ACC"/>
    <w:rsid w:val="0011681D"/>
    <w:rsid w:val="0011707A"/>
    <w:rsid w:val="0012306C"/>
    <w:rsid w:val="001232F6"/>
    <w:rsid w:val="00124503"/>
    <w:rsid w:val="00125208"/>
    <w:rsid w:val="00132A88"/>
    <w:rsid w:val="0013343F"/>
    <w:rsid w:val="001350BC"/>
    <w:rsid w:val="00136E7D"/>
    <w:rsid w:val="001427B2"/>
    <w:rsid w:val="00143A52"/>
    <w:rsid w:val="0014419C"/>
    <w:rsid w:val="00145B94"/>
    <w:rsid w:val="001469AB"/>
    <w:rsid w:val="00155A6E"/>
    <w:rsid w:val="001564DB"/>
    <w:rsid w:val="001638FE"/>
    <w:rsid w:val="00164A65"/>
    <w:rsid w:val="00167A25"/>
    <w:rsid w:val="00170BF2"/>
    <w:rsid w:val="00171ECD"/>
    <w:rsid w:val="00172C6F"/>
    <w:rsid w:val="0017565F"/>
    <w:rsid w:val="00176F15"/>
    <w:rsid w:val="00176FFB"/>
    <w:rsid w:val="00177B5C"/>
    <w:rsid w:val="00185B3C"/>
    <w:rsid w:val="00187669"/>
    <w:rsid w:val="00193A95"/>
    <w:rsid w:val="00193F15"/>
    <w:rsid w:val="00194720"/>
    <w:rsid w:val="00197DCD"/>
    <w:rsid w:val="001A2926"/>
    <w:rsid w:val="001A539F"/>
    <w:rsid w:val="001B214A"/>
    <w:rsid w:val="001B2876"/>
    <w:rsid w:val="001B7BE1"/>
    <w:rsid w:val="001C7CA8"/>
    <w:rsid w:val="001D02F5"/>
    <w:rsid w:val="001E1805"/>
    <w:rsid w:val="001E1C91"/>
    <w:rsid w:val="001E2C03"/>
    <w:rsid w:val="001E4776"/>
    <w:rsid w:val="001E7269"/>
    <w:rsid w:val="001F0C1F"/>
    <w:rsid w:val="001F285A"/>
    <w:rsid w:val="001F3412"/>
    <w:rsid w:val="001F5E2C"/>
    <w:rsid w:val="001F6C25"/>
    <w:rsid w:val="001F76E8"/>
    <w:rsid w:val="001F783B"/>
    <w:rsid w:val="001F79D5"/>
    <w:rsid w:val="00201976"/>
    <w:rsid w:val="00204626"/>
    <w:rsid w:val="00204C34"/>
    <w:rsid w:val="00205D6B"/>
    <w:rsid w:val="00210423"/>
    <w:rsid w:val="0021546D"/>
    <w:rsid w:val="00216BFD"/>
    <w:rsid w:val="0021773A"/>
    <w:rsid w:val="0022354F"/>
    <w:rsid w:val="00225D16"/>
    <w:rsid w:val="00227951"/>
    <w:rsid w:val="00230C6F"/>
    <w:rsid w:val="00234562"/>
    <w:rsid w:val="00240464"/>
    <w:rsid w:val="00244DD1"/>
    <w:rsid w:val="0024566B"/>
    <w:rsid w:val="00246900"/>
    <w:rsid w:val="002469FC"/>
    <w:rsid w:val="00247093"/>
    <w:rsid w:val="00247BE3"/>
    <w:rsid w:val="0025016C"/>
    <w:rsid w:val="0025023A"/>
    <w:rsid w:val="00250991"/>
    <w:rsid w:val="0025166E"/>
    <w:rsid w:val="0025327D"/>
    <w:rsid w:val="00260270"/>
    <w:rsid w:val="00263237"/>
    <w:rsid w:val="00263F32"/>
    <w:rsid w:val="00266FB4"/>
    <w:rsid w:val="00273313"/>
    <w:rsid w:val="002738D5"/>
    <w:rsid w:val="0027748A"/>
    <w:rsid w:val="0028048F"/>
    <w:rsid w:val="00282E12"/>
    <w:rsid w:val="00283B12"/>
    <w:rsid w:val="00284F73"/>
    <w:rsid w:val="002863A2"/>
    <w:rsid w:val="0029137C"/>
    <w:rsid w:val="00292088"/>
    <w:rsid w:val="00292E1A"/>
    <w:rsid w:val="0029470A"/>
    <w:rsid w:val="002977F7"/>
    <w:rsid w:val="002A152D"/>
    <w:rsid w:val="002A27F4"/>
    <w:rsid w:val="002A3C00"/>
    <w:rsid w:val="002A4647"/>
    <w:rsid w:val="002A76CB"/>
    <w:rsid w:val="002B0135"/>
    <w:rsid w:val="002B7B56"/>
    <w:rsid w:val="002C0642"/>
    <w:rsid w:val="002C300F"/>
    <w:rsid w:val="002C6DC8"/>
    <w:rsid w:val="002D347A"/>
    <w:rsid w:val="002D404E"/>
    <w:rsid w:val="002D67CC"/>
    <w:rsid w:val="002D6FA8"/>
    <w:rsid w:val="002E2928"/>
    <w:rsid w:val="002E49F2"/>
    <w:rsid w:val="002E55A1"/>
    <w:rsid w:val="002E5ABC"/>
    <w:rsid w:val="002F25F7"/>
    <w:rsid w:val="002F6507"/>
    <w:rsid w:val="002F67F6"/>
    <w:rsid w:val="00300F34"/>
    <w:rsid w:val="00313FF1"/>
    <w:rsid w:val="003162C1"/>
    <w:rsid w:val="00316797"/>
    <w:rsid w:val="0032255F"/>
    <w:rsid w:val="00323C11"/>
    <w:rsid w:val="003243BD"/>
    <w:rsid w:val="0032452F"/>
    <w:rsid w:val="003254C3"/>
    <w:rsid w:val="00330606"/>
    <w:rsid w:val="00330D26"/>
    <w:rsid w:val="003327C6"/>
    <w:rsid w:val="00335272"/>
    <w:rsid w:val="00343ABA"/>
    <w:rsid w:val="003468BB"/>
    <w:rsid w:val="003514FB"/>
    <w:rsid w:val="00351B1F"/>
    <w:rsid w:val="00354A20"/>
    <w:rsid w:val="00354BBB"/>
    <w:rsid w:val="00355D49"/>
    <w:rsid w:val="0036194A"/>
    <w:rsid w:val="00364AF2"/>
    <w:rsid w:val="0037030A"/>
    <w:rsid w:val="003722A2"/>
    <w:rsid w:val="00373C3E"/>
    <w:rsid w:val="003753AE"/>
    <w:rsid w:val="0037744F"/>
    <w:rsid w:val="00381C4D"/>
    <w:rsid w:val="00382AB3"/>
    <w:rsid w:val="00384296"/>
    <w:rsid w:val="003847A0"/>
    <w:rsid w:val="00384C47"/>
    <w:rsid w:val="00385D16"/>
    <w:rsid w:val="003865AB"/>
    <w:rsid w:val="00386CA1"/>
    <w:rsid w:val="00387909"/>
    <w:rsid w:val="0039222C"/>
    <w:rsid w:val="00395227"/>
    <w:rsid w:val="003960AF"/>
    <w:rsid w:val="00397CCC"/>
    <w:rsid w:val="003A6CB7"/>
    <w:rsid w:val="003A7141"/>
    <w:rsid w:val="003A7BFC"/>
    <w:rsid w:val="003B097A"/>
    <w:rsid w:val="003B1D42"/>
    <w:rsid w:val="003B709C"/>
    <w:rsid w:val="003B72D5"/>
    <w:rsid w:val="003C20D6"/>
    <w:rsid w:val="003C37FD"/>
    <w:rsid w:val="003C6ED2"/>
    <w:rsid w:val="003C7006"/>
    <w:rsid w:val="003D176F"/>
    <w:rsid w:val="003D1A8D"/>
    <w:rsid w:val="003D2582"/>
    <w:rsid w:val="003D309C"/>
    <w:rsid w:val="003E1547"/>
    <w:rsid w:val="003E2BA1"/>
    <w:rsid w:val="003E35B8"/>
    <w:rsid w:val="003E390C"/>
    <w:rsid w:val="003F40EA"/>
    <w:rsid w:val="003F5182"/>
    <w:rsid w:val="00402A49"/>
    <w:rsid w:val="004034C7"/>
    <w:rsid w:val="004076E9"/>
    <w:rsid w:val="00410916"/>
    <w:rsid w:val="00412024"/>
    <w:rsid w:val="0041220A"/>
    <w:rsid w:val="004138E0"/>
    <w:rsid w:val="00417A62"/>
    <w:rsid w:val="0042055A"/>
    <w:rsid w:val="00433759"/>
    <w:rsid w:val="00433B8F"/>
    <w:rsid w:val="00436BB4"/>
    <w:rsid w:val="004370F5"/>
    <w:rsid w:val="00440264"/>
    <w:rsid w:val="004426C4"/>
    <w:rsid w:val="004428AF"/>
    <w:rsid w:val="0044373A"/>
    <w:rsid w:val="0045000C"/>
    <w:rsid w:val="00450D66"/>
    <w:rsid w:val="00454427"/>
    <w:rsid w:val="004546D2"/>
    <w:rsid w:val="00463D27"/>
    <w:rsid w:val="004679C4"/>
    <w:rsid w:val="00471C49"/>
    <w:rsid w:val="0047317E"/>
    <w:rsid w:val="00482D97"/>
    <w:rsid w:val="00485049"/>
    <w:rsid w:val="00485A08"/>
    <w:rsid w:val="004874FE"/>
    <w:rsid w:val="00490880"/>
    <w:rsid w:val="00491816"/>
    <w:rsid w:val="004950A1"/>
    <w:rsid w:val="004953A4"/>
    <w:rsid w:val="00497E0D"/>
    <w:rsid w:val="004A0B6C"/>
    <w:rsid w:val="004A27A2"/>
    <w:rsid w:val="004A3299"/>
    <w:rsid w:val="004A3DCD"/>
    <w:rsid w:val="004A54CD"/>
    <w:rsid w:val="004B56F0"/>
    <w:rsid w:val="004B7BEE"/>
    <w:rsid w:val="004C1792"/>
    <w:rsid w:val="004C1F0A"/>
    <w:rsid w:val="004C6A8E"/>
    <w:rsid w:val="004C6F6A"/>
    <w:rsid w:val="004D0434"/>
    <w:rsid w:val="004D044E"/>
    <w:rsid w:val="004D0D48"/>
    <w:rsid w:val="004D1374"/>
    <w:rsid w:val="004D1B20"/>
    <w:rsid w:val="004D3D1A"/>
    <w:rsid w:val="004D7860"/>
    <w:rsid w:val="004E0A99"/>
    <w:rsid w:val="004E57C1"/>
    <w:rsid w:val="004E5DDC"/>
    <w:rsid w:val="004E69AC"/>
    <w:rsid w:val="004F0488"/>
    <w:rsid w:val="004F12A3"/>
    <w:rsid w:val="004F1527"/>
    <w:rsid w:val="004F46AD"/>
    <w:rsid w:val="0050006A"/>
    <w:rsid w:val="0050016D"/>
    <w:rsid w:val="00504D24"/>
    <w:rsid w:val="0051441D"/>
    <w:rsid w:val="00515C5E"/>
    <w:rsid w:val="00516DAB"/>
    <w:rsid w:val="00520DA2"/>
    <w:rsid w:val="0052323F"/>
    <w:rsid w:val="00523605"/>
    <w:rsid w:val="0052543A"/>
    <w:rsid w:val="00527298"/>
    <w:rsid w:val="005277CE"/>
    <w:rsid w:val="00530E57"/>
    <w:rsid w:val="005319BC"/>
    <w:rsid w:val="0053286B"/>
    <w:rsid w:val="00536D40"/>
    <w:rsid w:val="005435F8"/>
    <w:rsid w:val="0054369E"/>
    <w:rsid w:val="005515C0"/>
    <w:rsid w:val="00552AEE"/>
    <w:rsid w:val="005559B2"/>
    <w:rsid w:val="00560FCD"/>
    <w:rsid w:val="00565B70"/>
    <w:rsid w:val="00567153"/>
    <w:rsid w:val="00571574"/>
    <w:rsid w:val="00573EC2"/>
    <w:rsid w:val="00574AA3"/>
    <w:rsid w:val="0057526B"/>
    <w:rsid w:val="005762F0"/>
    <w:rsid w:val="005763F7"/>
    <w:rsid w:val="005764AF"/>
    <w:rsid w:val="00582943"/>
    <w:rsid w:val="00583E3E"/>
    <w:rsid w:val="00583F16"/>
    <w:rsid w:val="00585F43"/>
    <w:rsid w:val="005906DC"/>
    <w:rsid w:val="0059476E"/>
    <w:rsid w:val="005956D4"/>
    <w:rsid w:val="0059578F"/>
    <w:rsid w:val="005976B0"/>
    <w:rsid w:val="005A567F"/>
    <w:rsid w:val="005A5A50"/>
    <w:rsid w:val="005A611E"/>
    <w:rsid w:val="005A6640"/>
    <w:rsid w:val="005B1E69"/>
    <w:rsid w:val="005B2D9C"/>
    <w:rsid w:val="005B4062"/>
    <w:rsid w:val="005B4F7C"/>
    <w:rsid w:val="005B670F"/>
    <w:rsid w:val="005B6C1D"/>
    <w:rsid w:val="005C0838"/>
    <w:rsid w:val="005C1AA5"/>
    <w:rsid w:val="005C5BBC"/>
    <w:rsid w:val="005D24B0"/>
    <w:rsid w:val="005E2299"/>
    <w:rsid w:val="005E38EE"/>
    <w:rsid w:val="005E49F0"/>
    <w:rsid w:val="005F045F"/>
    <w:rsid w:val="005F3084"/>
    <w:rsid w:val="005F5D5F"/>
    <w:rsid w:val="005F61F5"/>
    <w:rsid w:val="005F6F42"/>
    <w:rsid w:val="00601AFE"/>
    <w:rsid w:val="00605690"/>
    <w:rsid w:val="00616496"/>
    <w:rsid w:val="00622949"/>
    <w:rsid w:val="00630ADB"/>
    <w:rsid w:val="0063164A"/>
    <w:rsid w:val="0063783F"/>
    <w:rsid w:val="006444EF"/>
    <w:rsid w:val="006464EE"/>
    <w:rsid w:val="0065102B"/>
    <w:rsid w:val="00652E3E"/>
    <w:rsid w:val="00653231"/>
    <w:rsid w:val="00655B3F"/>
    <w:rsid w:val="00663245"/>
    <w:rsid w:val="00664C2B"/>
    <w:rsid w:val="006653EF"/>
    <w:rsid w:val="00666C3A"/>
    <w:rsid w:val="00672324"/>
    <w:rsid w:val="0068117F"/>
    <w:rsid w:val="00683195"/>
    <w:rsid w:val="00687636"/>
    <w:rsid w:val="006917BF"/>
    <w:rsid w:val="00694C17"/>
    <w:rsid w:val="006A1051"/>
    <w:rsid w:val="006A16A5"/>
    <w:rsid w:val="006A4170"/>
    <w:rsid w:val="006A75B2"/>
    <w:rsid w:val="006B17E4"/>
    <w:rsid w:val="006B6F28"/>
    <w:rsid w:val="006B70BC"/>
    <w:rsid w:val="006C4779"/>
    <w:rsid w:val="006C4BFC"/>
    <w:rsid w:val="006C5CFC"/>
    <w:rsid w:val="006C637B"/>
    <w:rsid w:val="006D0C9F"/>
    <w:rsid w:val="006D1AED"/>
    <w:rsid w:val="006D6D1D"/>
    <w:rsid w:val="006D7A50"/>
    <w:rsid w:val="006D7C36"/>
    <w:rsid w:val="006E01B5"/>
    <w:rsid w:val="006E2629"/>
    <w:rsid w:val="006E35FD"/>
    <w:rsid w:val="006E7475"/>
    <w:rsid w:val="006F7824"/>
    <w:rsid w:val="00704A64"/>
    <w:rsid w:val="00704CAF"/>
    <w:rsid w:val="00705652"/>
    <w:rsid w:val="00706DDF"/>
    <w:rsid w:val="00707088"/>
    <w:rsid w:val="007110F7"/>
    <w:rsid w:val="00714B08"/>
    <w:rsid w:val="0071528E"/>
    <w:rsid w:val="007207AA"/>
    <w:rsid w:val="00720915"/>
    <w:rsid w:val="00723E68"/>
    <w:rsid w:val="00725DB8"/>
    <w:rsid w:val="00726607"/>
    <w:rsid w:val="00732F44"/>
    <w:rsid w:val="00737626"/>
    <w:rsid w:val="007376D5"/>
    <w:rsid w:val="00741EA7"/>
    <w:rsid w:val="00755D4A"/>
    <w:rsid w:val="007622F7"/>
    <w:rsid w:val="00766D22"/>
    <w:rsid w:val="00775081"/>
    <w:rsid w:val="0077679F"/>
    <w:rsid w:val="00780F79"/>
    <w:rsid w:val="0078204B"/>
    <w:rsid w:val="00786A61"/>
    <w:rsid w:val="007907CC"/>
    <w:rsid w:val="00790AE8"/>
    <w:rsid w:val="00792491"/>
    <w:rsid w:val="00793600"/>
    <w:rsid w:val="007A0651"/>
    <w:rsid w:val="007A16EE"/>
    <w:rsid w:val="007A5677"/>
    <w:rsid w:val="007A6BDE"/>
    <w:rsid w:val="007B2DA6"/>
    <w:rsid w:val="007B4097"/>
    <w:rsid w:val="007B6AA9"/>
    <w:rsid w:val="007C00B5"/>
    <w:rsid w:val="007C5F63"/>
    <w:rsid w:val="007C77A0"/>
    <w:rsid w:val="007C7E70"/>
    <w:rsid w:val="007D5A66"/>
    <w:rsid w:val="007D689C"/>
    <w:rsid w:val="007E0A13"/>
    <w:rsid w:val="007F03FC"/>
    <w:rsid w:val="007F4972"/>
    <w:rsid w:val="007F581A"/>
    <w:rsid w:val="00803B6B"/>
    <w:rsid w:val="00813B38"/>
    <w:rsid w:val="008147CB"/>
    <w:rsid w:val="0081507D"/>
    <w:rsid w:val="00817310"/>
    <w:rsid w:val="00817A6A"/>
    <w:rsid w:val="0082107D"/>
    <w:rsid w:val="00821101"/>
    <w:rsid w:val="00821233"/>
    <w:rsid w:val="0082379F"/>
    <w:rsid w:val="00825BD1"/>
    <w:rsid w:val="00826E6B"/>
    <w:rsid w:val="0082739A"/>
    <w:rsid w:val="0083064B"/>
    <w:rsid w:val="00830E2F"/>
    <w:rsid w:val="0083261E"/>
    <w:rsid w:val="00837E6C"/>
    <w:rsid w:val="00837E7C"/>
    <w:rsid w:val="0084013D"/>
    <w:rsid w:val="008405BE"/>
    <w:rsid w:val="00843495"/>
    <w:rsid w:val="00843703"/>
    <w:rsid w:val="00843931"/>
    <w:rsid w:val="00844405"/>
    <w:rsid w:val="008449E9"/>
    <w:rsid w:val="008553E9"/>
    <w:rsid w:val="0085607D"/>
    <w:rsid w:val="008577C9"/>
    <w:rsid w:val="00857966"/>
    <w:rsid w:val="00861055"/>
    <w:rsid w:val="00861D90"/>
    <w:rsid w:val="0086332D"/>
    <w:rsid w:val="00863803"/>
    <w:rsid w:val="008667C5"/>
    <w:rsid w:val="008675E4"/>
    <w:rsid w:val="008720D0"/>
    <w:rsid w:val="008752B1"/>
    <w:rsid w:val="00877114"/>
    <w:rsid w:val="00883985"/>
    <w:rsid w:val="008858E6"/>
    <w:rsid w:val="0089018E"/>
    <w:rsid w:val="00893461"/>
    <w:rsid w:val="00897654"/>
    <w:rsid w:val="008A09F0"/>
    <w:rsid w:val="008A4034"/>
    <w:rsid w:val="008A445D"/>
    <w:rsid w:val="008A573C"/>
    <w:rsid w:val="008A61D9"/>
    <w:rsid w:val="008B4138"/>
    <w:rsid w:val="008B512D"/>
    <w:rsid w:val="008C0672"/>
    <w:rsid w:val="008C225F"/>
    <w:rsid w:val="008C5F56"/>
    <w:rsid w:val="008D0024"/>
    <w:rsid w:val="008D39F6"/>
    <w:rsid w:val="008E3C42"/>
    <w:rsid w:val="008E493C"/>
    <w:rsid w:val="008E7007"/>
    <w:rsid w:val="008F113F"/>
    <w:rsid w:val="008F20CF"/>
    <w:rsid w:val="008F21B2"/>
    <w:rsid w:val="00905312"/>
    <w:rsid w:val="00906247"/>
    <w:rsid w:val="009214AC"/>
    <w:rsid w:val="00922CC6"/>
    <w:rsid w:val="009302F5"/>
    <w:rsid w:val="009330CA"/>
    <w:rsid w:val="00935B04"/>
    <w:rsid w:val="00935EB2"/>
    <w:rsid w:val="00942BA4"/>
    <w:rsid w:val="00944F3D"/>
    <w:rsid w:val="00944F4E"/>
    <w:rsid w:val="00946497"/>
    <w:rsid w:val="00950068"/>
    <w:rsid w:val="00951A3F"/>
    <w:rsid w:val="009576CD"/>
    <w:rsid w:val="00961B57"/>
    <w:rsid w:val="00962357"/>
    <w:rsid w:val="00963085"/>
    <w:rsid w:val="009668C6"/>
    <w:rsid w:val="00972448"/>
    <w:rsid w:val="00972868"/>
    <w:rsid w:val="00975A00"/>
    <w:rsid w:val="009766B9"/>
    <w:rsid w:val="00976D1E"/>
    <w:rsid w:val="00983886"/>
    <w:rsid w:val="009871DC"/>
    <w:rsid w:val="00991788"/>
    <w:rsid w:val="00996F72"/>
    <w:rsid w:val="009A16D2"/>
    <w:rsid w:val="009A26F7"/>
    <w:rsid w:val="009B3742"/>
    <w:rsid w:val="009B4085"/>
    <w:rsid w:val="009C1890"/>
    <w:rsid w:val="009C1DBE"/>
    <w:rsid w:val="009C28F5"/>
    <w:rsid w:val="009C3682"/>
    <w:rsid w:val="009C4A04"/>
    <w:rsid w:val="009D0DC2"/>
    <w:rsid w:val="009D1099"/>
    <w:rsid w:val="009E2FF3"/>
    <w:rsid w:val="009E5BB6"/>
    <w:rsid w:val="009F09FC"/>
    <w:rsid w:val="009F357A"/>
    <w:rsid w:val="009F4BF1"/>
    <w:rsid w:val="009F55F6"/>
    <w:rsid w:val="00A009CB"/>
    <w:rsid w:val="00A00BB9"/>
    <w:rsid w:val="00A026BB"/>
    <w:rsid w:val="00A04854"/>
    <w:rsid w:val="00A04DCC"/>
    <w:rsid w:val="00A06050"/>
    <w:rsid w:val="00A06A06"/>
    <w:rsid w:val="00A1024D"/>
    <w:rsid w:val="00A10D45"/>
    <w:rsid w:val="00A15D57"/>
    <w:rsid w:val="00A203AE"/>
    <w:rsid w:val="00A247D1"/>
    <w:rsid w:val="00A24AD0"/>
    <w:rsid w:val="00A25343"/>
    <w:rsid w:val="00A26A0D"/>
    <w:rsid w:val="00A3026B"/>
    <w:rsid w:val="00A333C1"/>
    <w:rsid w:val="00A33A09"/>
    <w:rsid w:val="00A36F79"/>
    <w:rsid w:val="00A40506"/>
    <w:rsid w:val="00A50ACB"/>
    <w:rsid w:val="00A64190"/>
    <w:rsid w:val="00A646A0"/>
    <w:rsid w:val="00A65A26"/>
    <w:rsid w:val="00A760EE"/>
    <w:rsid w:val="00A8246B"/>
    <w:rsid w:val="00A841C6"/>
    <w:rsid w:val="00A84B22"/>
    <w:rsid w:val="00A86E85"/>
    <w:rsid w:val="00A87944"/>
    <w:rsid w:val="00A87B0C"/>
    <w:rsid w:val="00A87C78"/>
    <w:rsid w:val="00A9216D"/>
    <w:rsid w:val="00A928D3"/>
    <w:rsid w:val="00A949D9"/>
    <w:rsid w:val="00A96949"/>
    <w:rsid w:val="00A96C86"/>
    <w:rsid w:val="00A97B0E"/>
    <w:rsid w:val="00AA06ED"/>
    <w:rsid w:val="00AA27A6"/>
    <w:rsid w:val="00AB1ACA"/>
    <w:rsid w:val="00AB68C7"/>
    <w:rsid w:val="00AC3A42"/>
    <w:rsid w:val="00AC4BF7"/>
    <w:rsid w:val="00AC4E2F"/>
    <w:rsid w:val="00AC659A"/>
    <w:rsid w:val="00AC6A04"/>
    <w:rsid w:val="00AD08B3"/>
    <w:rsid w:val="00AD12C4"/>
    <w:rsid w:val="00AD3266"/>
    <w:rsid w:val="00AD7D40"/>
    <w:rsid w:val="00AE417B"/>
    <w:rsid w:val="00AE4D30"/>
    <w:rsid w:val="00AF5B48"/>
    <w:rsid w:val="00AF70FC"/>
    <w:rsid w:val="00AF770E"/>
    <w:rsid w:val="00B01935"/>
    <w:rsid w:val="00B1010B"/>
    <w:rsid w:val="00B1505C"/>
    <w:rsid w:val="00B16E1E"/>
    <w:rsid w:val="00B20FB5"/>
    <w:rsid w:val="00B25B96"/>
    <w:rsid w:val="00B30AE9"/>
    <w:rsid w:val="00B314E9"/>
    <w:rsid w:val="00B31954"/>
    <w:rsid w:val="00B363E7"/>
    <w:rsid w:val="00B3794D"/>
    <w:rsid w:val="00B437EB"/>
    <w:rsid w:val="00B470D4"/>
    <w:rsid w:val="00B4780A"/>
    <w:rsid w:val="00B51214"/>
    <w:rsid w:val="00B573AB"/>
    <w:rsid w:val="00B609BB"/>
    <w:rsid w:val="00B6109D"/>
    <w:rsid w:val="00B62AA6"/>
    <w:rsid w:val="00B63D11"/>
    <w:rsid w:val="00B666C7"/>
    <w:rsid w:val="00B66D64"/>
    <w:rsid w:val="00B73121"/>
    <w:rsid w:val="00B82E7B"/>
    <w:rsid w:val="00B83F4B"/>
    <w:rsid w:val="00B84774"/>
    <w:rsid w:val="00B92AC9"/>
    <w:rsid w:val="00B933B0"/>
    <w:rsid w:val="00B96708"/>
    <w:rsid w:val="00B96EED"/>
    <w:rsid w:val="00BA1C8C"/>
    <w:rsid w:val="00BA6FAC"/>
    <w:rsid w:val="00BB513A"/>
    <w:rsid w:val="00BB5F34"/>
    <w:rsid w:val="00BC6570"/>
    <w:rsid w:val="00BC7531"/>
    <w:rsid w:val="00BC7607"/>
    <w:rsid w:val="00BC7CE0"/>
    <w:rsid w:val="00BD2BA6"/>
    <w:rsid w:val="00BD3F4A"/>
    <w:rsid w:val="00BE728E"/>
    <w:rsid w:val="00BE7EDC"/>
    <w:rsid w:val="00BF4EC3"/>
    <w:rsid w:val="00BF5E20"/>
    <w:rsid w:val="00C01797"/>
    <w:rsid w:val="00C03C83"/>
    <w:rsid w:val="00C042F8"/>
    <w:rsid w:val="00C112CC"/>
    <w:rsid w:val="00C122BA"/>
    <w:rsid w:val="00C14708"/>
    <w:rsid w:val="00C20E2A"/>
    <w:rsid w:val="00C22126"/>
    <w:rsid w:val="00C23DBD"/>
    <w:rsid w:val="00C24B49"/>
    <w:rsid w:val="00C25527"/>
    <w:rsid w:val="00C25FD2"/>
    <w:rsid w:val="00C2673A"/>
    <w:rsid w:val="00C26B32"/>
    <w:rsid w:val="00C26FAE"/>
    <w:rsid w:val="00C34AD5"/>
    <w:rsid w:val="00C35163"/>
    <w:rsid w:val="00C353D4"/>
    <w:rsid w:val="00C36784"/>
    <w:rsid w:val="00C3700A"/>
    <w:rsid w:val="00C37192"/>
    <w:rsid w:val="00C40B74"/>
    <w:rsid w:val="00C41853"/>
    <w:rsid w:val="00C42D8C"/>
    <w:rsid w:val="00C4477D"/>
    <w:rsid w:val="00C44EEC"/>
    <w:rsid w:val="00C45EF8"/>
    <w:rsid w:val="00C5187D"/>
    <w:rsid w:val="00C52958"/>
    <w:rsid w:val="00C53210"/>
    <w:rsid w:val="00C53539"/>
    <w:rsid w:val="00C5695B"/>
    <w:rsid w:val="00C60DA1"/>
    <w:rsid w:val="00C724CC"/>
    <w:rsid w:val="00C77F47"/>
    <w:rsid w:val="00C80576"/>
    <w:rsid w:val="00C8471A"/>
    <w:rsid w:val="00C858AC"/>
    <w:rsid w:val="00C85E21"/>
    <w:rsid w:val="00C912FE"/>
    <w:rsid w:val="00C91C43"/>
    <w:rsid w:val="00C91E12"/>
    <w:rsid w:val="00C9675D"/>
    <w:rsid w:val="00CA3689"/>
    <w:rsid w:val="00CA3C86"/>
    <w:rsid w:val="00CA3E2A"/>
    <w:rsid w:val="00CA43A4"/>
    <w:rsid w:val="00CA6163"/>
    <w:rsid w:val="00CA65CF"/>
    <w:rsid w:val="00CA6B57"/>
    <w:rsid w:val="00CB1B3E"/>
    <w:rsid w:val="00CB3206"/>
    <w:rsid w:val="00CB3F5D"/>
    <w:rsid w:val="00CB55E6"/>
    <w:rsid w:val="00CC006D"/>
    <w:rsid w:val="00CC0E6D"/>
    <w:rsid w:val="00CC4C12"/>
    <w:rsid w:val="00CC759E"/>
    <w:rsid w:val="00CC7638"/>
    <w:rsid w:val="00CE0172"/>
    <w:rsid w:val="00CE09F9"/>
    <w:rsid w:val="00CE5260"/>
    <w:rsid w:val="00CE588E"/>
    <w:rsid w:val="00CF08DB"/>
    <w:rsid w:val="00CF218D"/>
    <w:rsid w:val="00CF2CAF"/>
    <w:rsid w:val="00CF322B"/>
    <w:rsid w:val="00CF4D58"/>
    <w:rsid w:val="00D025D9"/>
    <w:rsid w:val="00D0502E"/>
    <w:rsid w:val="00D11143"/>
    <w:rsid w:val="00D13B50"/>
    <w:rsid w:val="00D14231"/>
    <w:rsid w:val="00D14246"/>
    <w:rsid w:val="00D16A5E"/>
    <w:rsid w:val="00D20458"/>
    <w:rsid w:val="00D20C42"/>
    <w:rsid w:val="00D21A87"/>
    <w:rsid w:val="00D22DF7"/>
    <w:rsid w:val="00D24B1A"/>
    <w:rsid w:val="00D25CDB"/>
    <w:rsid w:val="00D33F10"/>
    <w:rsid w:val="00D40EB5"/>
    <w:rsid w:val="00D43003"/>
    <w:rsid w:val="00D45BB1"/>
    <w:rsid w:val="00D50688"/>
    <w:rsid w:val="00D5357D"/>
    <w:rsid w:val="00D5726C"/>
    <w:rsid w:val="00D61EB6"/>
    <w:rsid w:val="00D63C16"/>
    <w:rsid w:val="00D6492A"/>
    <w:rsid w:val="00D65E6A"/>
    <w:rsid w:val="00D705A7"/>
    <w:rsid w:val="00D718EC"/>
    <w:rsid w:val="00D727E5"/>
    <w:rsid w:val="00D73A1B"/>
    <w:rsid w:val="00D75B38"/>
    <w:rsid w:val="00D76DF9"/>
    <w:rsid w:val="00D77C89"/>
    <w:rsid w:val="00D842C2"/>
    <w:rsid w:val="00D92A14"/>
    <w:rsid w:val="00D92F9E"/>
    <w:rsid w:val="00D94FD3"/>
    <w:rsid w:val="00D97362"/>
    <w:rsid w:val="00DA34D1"/>
    <w:rsid w:val="00DA405C"/>
    <w:rsid w:val="00DA7739"/>
    <w:rsid w:val="00DB082D"/>
    <w:rsid w:val="00DB5575"/>
    <w:rsid w:val="00DB5B23"/>
    <w:rsid w:val="00DB5FE2"/>
    <w:rsid w:val="00DB63DE"/>
    <w:rsid w:val="00DC0BD2"/>
    <w:rsid w:val="00DC2934"/>
    <w:rsid w:val="00DC2989"/>
    <w:rsid w:val="00DC3041"/>
    <w:rsid w:val="00DC47E0"/>
    <w:rsid w:val="00DD2614"/>
    <w:rsid w:val="00DD7AD7"/>
    <w:rsid w:val="00DD7AD8"/>
    <w:rsid w:val="00DE15AD"/>
    <w:rsid w:val="00DE272B"/>
    <w:rsid w:val="00DE4866"/>
    <w:rsid w:val="00DE492D"/>
    <w:rsid w:val="00DE5E2D"/>
    <w:rsid w:val="00DE5FB3"/>
    <w:rsid w:val="00DE66C0"/>
    <w:rsid w:val="00E057C4"/>
    <w:rsid w:val="00E0688C"/>
    <w:rsid w:val="00E07E56"/>
    <w:rsid w:val="00E1028B"/>
    <w:rsid w:val="00E13704"/>
    <w:rsid w:val="00E13F7F"/>
    <w:rsid w:val="00E14286"/>
    <w:rsid w:val="00E14929"/>
    <w:rsid w:val="00E16F44"/>
    <w:rsid w:val="00E21FB5"/>
    <w:rsid w:val="00E255E7"/>
    <w:rsid w:val="00E25674"/>
    <w:rsid w:val="00E25FF7"/>
    <w:rsid w:val="00E3222F"/>
    <w:rsid w:val="00E37535"/>
    <w:rsid w:val="00E42D2B"/>
    <w:rsid w:val="00E43439"/>
    <w:rsid w:val="00E4606C"/>
    <w:rsid w:val="00E54CE0"/>
    <w:rsid w:val="00E57281"/>
    <w:rsid w:val="00E619A3"/>
    <w:rsid w:val="00E64E76"/>
    <w:rsid w:val="00E65BAC"/>
    <w:rsid w:val="00E66850"/>
    <w:rsid w:val="00E73134"/>
    <w:rsid w:val="00E84956"/>
    <w:rsid w:val="00E84CB9"/>
    <w:rsid w:val="00E862D8"/>
    <w:rsid w:val="00E91D29"/>
    <w:rsid w:val="00E92EEB"/>
    <w:rsid w:val="00E931FD"/>
    <w:rsid w:val="00E93927"/>
    <w:rsid w:val="00E95C1C"/>
    <w:rsid w:val="00E95FAF"/>
    <w:rsid w:val="00EA0BEF"/>
    <w:rsid w:val="00EA0D75"/>
    <w:rsid w:val="00EA34F7"/>
    <w:rsid w:val="00EA4683"/>
    <w:rsid w:val="00EA5119"/>
    <w:rsid w:val="00EB2598"/>
    <w:rsid w:val="00EB308C"/>
    <w:rsid w:val="00EB401C"/>
    <w:rsid w:val="00EB4364"/>
    <w:rsid w:val="00EB60EA"/>
    <w:rsid w:val="00EC0291"/>
    <w:rsid w:val="00EC6042"/>
    <w:rsid w:val="00EC7FB9"/>
    <w:rsid w:val="00ED4DAD"/>
    <w:rsid w:val="00EE04B0"/>
    <w:rsid w:val="00EE1ED2"/>
    <w:rsid w:val="00EE22D6"/>
    <w:rsid w:val="00EE2396"/>
    <w:rsid w:val="00EE2B44"/>
    <w:rsid w:val="00EE2BE5"/>
    <w:rsid w:val="00EE5E20"/>
    <w:rsid w:val="00EF0433"/>
    <w:rsid w:val="00EF09ED"/>
    <w:rsid w:val="00EF3BAE"/>
    <w:rsid w:val="00EF424F"/>
    <w:rsid w:val="00EF6199"/>
    <w:rsid w:val="00F016B1"/>
    <w:rsid w:val="00F02298"/>
    <w:rsid w:val="00F05414"/>
    <w:rsid w:val="00F07470"/>
    <w:rsid w:val="00F07B05"/>
    <w:rsid w:val="00F107F2"/>
    <w:rsid w:val="00F112A8"/>
    <w:rsid w:val="00F11514"/>
    <w:rsid w:val="00F13B1E"/>
    <w:rsid w:val="00F15F66"/>
    <w:rsid w:val="00F22155"/>
    <w:rsid w:val="00F24C37"/>
    <w:rsid w:val="00F25626"/>
    <w:rsid w:val="00F32F2A"/>
    <w:rsid w:val="00F350DE"/>
    <w:rsid w:val="00F4115D"/>
    <w:rsid w:val="00F41868"/>
    <w:rsid w:val="00F46D16"/>
    <w:rsid w:val="00F5509B"/>
    <w:rsid w:val="00F552F1"/>
    <w:rsid w:val="00F5602C"/>
    <w:rsid w:val="00F60749"/>
    <w:rsid w:val="00F60B10"/>
    <w:rsid w:val="00F63BF8"/>
    <w:rsid w:val="00F64E45"/>
    <w:rsid w:val="00F73919"/>
    <w:rsid w:val="00F73A41"/>
    <w:rsid w:val="00F745B9"/>
    <w:rsid w:val="00F75AD0"/>
    <w:rsid w:val="00F760E7"/>
    <w:rsid w:val="00F77300"/>
    <w:rsid w:val="00F81F42"/>
    <w:rsid w:val="00F82BB3"/>
    <w:rsid w:val="00F8657C"/>
    <w:rsid w:val="00F90F0A"/>
    <w:rsid w:val="00F97FBB"/>
    <w:rsid w:val="00FA0232"/>
    <w:rsid w:val="00FA4DB5"/>
    <w:rsid w:val="00FA62C7"/>
    <w:rsid w:val="00FB39FC"/>
    <w:rsid w:val="00FB4800"/>
    <w:rsid w:val="00FB77AC"/>
    <w:rsid w:val="00FC3D81"/>
    <w:rsid w:val="00FD0C80"/>
    <w:rsid w:val="00FD3C98"/>
    <w:rsid w:val="00FD6870"/>
    <w:rsid w:val="00FE2D34"/>
    <w:rsid w:val="00FE34A0"/>
    <w:rsid w:val="00FE3E85"/>
    <w:rsid w:val="00FE5304"/>
    <w:rsid w:val="00FF4026"/>
    <w:rsid w:val="00FF5102"/>
    <w:rsid w:val="00FF6BCC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DE113B-D526-424C-8C5B-CB2E3E43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color w:val="FFCC0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ind w:left="-720" w:right="-720"/>
      <w:outlineLvl w:val="4"/>
    </w:pPr>
    <w:rPr>
      <w:b/>
      <w:szCs w:val="40"/>
    </w:rPr>
  </w:style>
  <w:style w:type="paragraph" w:styleId="Heading6">
    <w:name w:val="heading 6"/>
    <w:basedOn w:val="Normal"/>
    <w:next w:val="Normal"/>
    <w:qFormat/>
    <w:pPr>
      <w:keepNext/>
      <w:ind w:left="-720" w:right="-720"/>
      <w:outlineLvl w:val="5"/>
    </w:pPr>
    <w:rPr>
      <w:i/>
      <w:iCs/>
      <w:szCs w:val="36"/>
      <w:u w:val="single"/>
    </w:rPr>
  </w:style>
  <w:style w:type="paragraph" w:styleId="Heading7">
    <w:name w:val="heading 7"/>
    <w:basedOn w:val="Normal"/>
    <w:next w:val="Normal"/>
    <w:qFormat/>
    <w:pPr>
      <w:keepNext/>
      <w:ind w:left="-720" w:right="-720" w:firstLine="360"/>
      <w:outlineLvl w:val="6"/>
    </w:pPr>
    <w:rPr>
      <w:i/>
      <w:iCs/>
      <w:szCs w:val="36"/>
      <w:u w:val="single"/>
    </w:rPr>
  </w:style>
  <w:style w:type="paragraph" w:styleId="Heading8">
    <w:name w:val="heading 8"/>
    <w:basedOn w:val="Normal"/>
    <w:next w:val="Normal"/>
    <w:qFormat/>
    <w:pPr>
      <w:keepNext/>
      <w:ind w:right="-720" w:hanging="360"/>
      <w:outlineLvl w:val="7"/>
    </w:pPr>
    <w:rPr>
      <w:i/>
      <w:iCs/>
      <w:szCs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080" w:hanging="360"/>
    </w:pPr>
  </w:style>
  <w:style w:type="paragraph" w:customStyle="1" w:styleId="indent">
    <w:name w:val="indent"/>
    <w:basedOn w:val="Normal"/>
    <w:pPr>
      <w:tabs>
        <w:tab w:val="left" w:pos="980"/>
      </w:tabs>
      <w:ind w:left="900" w:hanging="440"/>
      <w:jc w:val="both"/>
    </w:pPr>
    <w:rPr>
      <w:rFonts w:ascii="Palatino" w:hAnsi="Palatino"/>
      <w:szCs w:val="20"/>
    </w:rPr>
  </w:style>
  <w:style w:type="paragraph" w:customStyle="1" w:styleId="doubleindent">
    <w:name w:val="double indent"/>
    <w:basedOn w:val="indent"/>
    <w:pPr>
      <w:tabs>
        <w:tab w:val="clear" w:pos="980"/>
      </w:tabs>
      <w:ind w:left="1800" w:hanging="8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BlockText">
    <w:name w:val="Block Text"/>
    <w:basedOn w:val="Normal"/>
    <w:pPr>
      <w:ind w:left="-720" w:right="-720"/>
    </w:pPr>
    <w:rPr>
      <w:szCs w:val="3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720"/>
    </w:pPr>
    <w:rPr>
      <w:szCs w:val="36"/>
    </w:rPr>
  </w:style>
  <w:style w:type="paragraph" w:styleId="Caption">
    <w:name w:val="caption"/>
    <w:basedOn w:val="Normal"/>
    <w:next w:val="Normal"/>
    <w:qFormat/>
    <w:rPr>
      <w:b/>
      <w:bCs/>
      <w:i/>
      <w:iCs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Arial Narrow" w:hAnsi="Arial Narrow"/>
      <w:b/>
      <w:bCs/>
      <w:color w:val="000000"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52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10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931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00BB9"/>
    <w:pPr>
      <w:tabs>
        <w:tab w:val="center" w:pos="4320"/>
        <w:tab w:val="right" w:pos="8640"/>
      </w:tabs>
    </w:pPr>
  </w:style>
  <w:style w:type="character" w:customStyle="1" w:styleId="documentbody1">
    <w:name w:val="documentbody1"/>
    <w:rsid w:val="00FD3C98"/>
    <w:rPr>
      <w:rFonts w:ascii="Verdana" w:hAnsi="Verdana" w:hint="default"/>
    </w:rPr>
  </w:style>
  <w:style w:type="character" w:styleId="Strong">
    <w:name w:val="Strong"/>
    <w:uiPriority w:val="22"/>
    <w:qFormat/>
    <w:rsid w:val="00A26A0D"/>
    <w:rPr>
      <w:b/>
      <w:bCs/>
    </w:rPr>
  </w:style>
  <w:style w:type="paragraph" w:styleId="ListParagraph">
    <w:name w:val="List Paragraph"/>
    <w:basedOn w:val="Normal"/>
    <w:uiPriority w:val="34"/>
    <w:qFormat/>
    <w:rsid w:val="00D45BB1"/>
    <w:pPr>
      <w:ind w:left="720"/>
    </w:pPr>
  </w:style>
  <w:style w:type="table" w:styleId="TableGrid">
    <w:name w:val="Table Grid"/>
    <w:basedOn w:val="TableNormal"/>
    <w:rsid w:val="00CC7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F09FC"/>
    <w:rPr>
      <w:sz w:val="24"/>
      <w:szCs w:val="24"/>
    </w:rPr>
  </w:style>
  <w:style w:type="paragraph" w:styleId="Revision">
    <w:name w:val="Revision"/>
    <w:hidden/>
    <w:uiPriority w:val="99"/>
    <w:semiHidden/>
    <w:rsid w:val="00766D22"/>
    <w:rPr>
      <w:sz w:val="24"/>
      <w:szCs w:val="24"/>
    </w:rPr>
  </w:style>
  <w:style w:type="character" w:styleId="CommentReference">
    <w:name w:val="annotation reference"/>
    <w:basedOn w:val="DefaultParagraphFont"/>
    <w:rsid w:val="00013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2E7"/>
  </w:style>
  <w:style w:type="paragraph" w:styleId="CommentSubject">
    <w:name w:val="annotation subject"/>
    <w:basedOn w:val="CommentText"/>
    <w:next w:val="CommentText"/>
    <w:link w:val="CommentSubjectChar"/>
    <w:rsid w:val="0001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procurement.fsu.edu/supplier-diversity/advisory-counci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s-cifs2.fsu.edu\PUR\PUR-Users\eea3743\My%20Documents\Expenditures\2015-16\Precent%20Calculations%20with%20Average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s-cifs2.fsu.edu\PUR\PUR-Users\eea3743\My%20Documents\Expenditures\2015-16\Precent%20Calculations%20with%20Averag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Chart 1. FSU SMV/WBE Activity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468468595824085E-2"/>
          <c:y val="0.16502059408820749"/>
          <c:w val="0.72417356484285622"/>
          <c:h val="0.76763548133309534"/>
        </c:manualLayout>
      </c:layout>
      <c:lineChart>
        <c:grouping val="standard"/>
        <c:varyColors val="0"/>
        <c:ser>
          <c:idx val="0"/>
          <c:order val="0"/>
          <c:tx>
            <c:strRef>
              <c:f>'% Change (2)'!$A$20</c:f>
              <c:strCache>
                <c:ptCount val="1"/>
                <c:pt idx="0">
                  <c:v>Certified SMV/WBEs</c:v>
                </c:pt>
              </c:strCache>
            </c:strRef>
          </c:tx>
          <c:cat>
            <c:strRef>
              <c:f>'% Change (2)'!$B$19:$H$19</c:f>
              <c:strCache>
                <c:ptCount val="7"/>
                <c:pt idx="0">
                  <c:v>FY 09</c:v>
                </c:pt>
                <c:pt idx="1">
                  <c:v>FY 10</c:v>
                </c:pt>
                <c:pt idx="2">
                  <c:v>FY 11</c:v>
                </c:pt>
                <c:pt idx="3">
                  <c:v>FY 12</c:v>
                </c:pt>
                <c:pt idx="4">
                  <c:v>FY 13</c:v>
                </c:pt>
                <c:pt idx="5">
                  <c:v>FY 14</c:v>
                </c:pt>
                <c:pt idx="6">
                  <c:v>FY 15</c:v>
                </c:pt>
              </c:strCache>
            </c:strRef>
          </c:cat>
          <c:val>
            <c:numRef>
              <c:f>'% Change (2)'!$B$20:$H$20</c:f>
              <c:numCache>
                <c:formatCode>"$"#,##0</c:formatCode>
                <c:ptCount val="7"/>
                <c:pt idx="0">
                  <c:v>12721463</c:v>
                </c:pt>
                <c:pt idx="1">
                  <c:v>11422867</c:v>
                </c:pt>
                <c:pt idx="2">
                  <c:v>14284353</c:v>
                </c:pt>
                <c:pt idx="3">
                  <c:v>10929290</c:v>
                </c:pt>
                <c:pt idx="4">
                  <c:v>10248120</c:v>
                </c:pt>
                <c:pt idx="5">
                  <c:v>13527672</c:v>
                </c:pt>
                <c:pt idx="6">
                  <c:v>9334433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'% Change (2)'!$A$21</c:f>
              <c:strCache>
                <c:ptCount val="1"/>
                <c:pt idx="0">
                  <c:v>Non-Certified SMV/WBEs</c:v>
                </c:pt>
              </c:strCache>
            </c:strRef>
          </c:tx>
          <c:cat>
            <c:strRef>
              <c:f>'% Change (2)'!$B$19:$H$19</c:f>
              <c:strCache>
                <c:ptCount val="7"/>
                <c:pt idx="0">
                  <c:v>FY 09</c:v>
                </c:pt>
                <c:pt idx="1">
                  <c:v>FY 10</c:v>
                </c:pt>
                <c:pt idx="2">
                  <c:v>FY 11</c:v>
                </c:pt>
                <c:pt idx="3">
                  <c:v>FY 12</c:v>
                </c:pt>
                <c:pt idx="4">
                  <c:v>FY 13</c:v>
                </c:pt>
                <c:pt idx="5">
                  <c:v>FY 14</c:v>
                </c:pt>
                <c:pt idx="6">
                  <c:v>FY 15</c:v>
                </c:pt>
              </c:strCache>
            </c:strRef>
          </c:cat>
          <c:val>
            <c:numRef>
              <c:f>'% Change (2)'!$B$21:$H$21</c:f>
              <c:numCache>
                <c:formatCode>"$"#,##0</c:formatCode>
                <c:ptCount val="7"/>
                <c:pt idx="0">
                  <c:v>14994087</c:v>
                </c:pt>
                <c:pt idx="1">
                  <c:v>15785978</c:v>
                </c:pt>
                <c:pt idx="2">
                  <c:v>20408901</c:v>
                </c:pt>
                <c:pt idx="3">
                  <c:v>4648182</c:v>
                </c:pt>
                <c:pt idx="4">
                  <c:v>5649437</c:v>
                </c:pt>
                <c:pt idx="5">
                  <c:v>7484700</c:v>
                </c:pt>
                <c:pt idx="6">
                  <c:v>5912833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7205776"/>
        <c:axId val="387032384"/>
      </c:lineChart>
      <c:lineChart>
        <c:grouping val="standard"/>
        <c:varyColors val="0"/>
        <c:ser>
          <c:idx val="2"/>
          <c:order val="2"/>
          <c:tx>
            <c:strRef>
              <c:f>'% Change (2)'!$A$22</c:f>
              <c:strCache>
                <c:ptCount val="1"/>
                <c:pt idx="0">
                  <c:v>Non-Profit</c:v>
                </c:pt>
              </c:strCache>
            </c:strRef>
          </c:tx>
          <c:cat>
            <c:strRef>
              <c:f>'% Change (2)'!$B$19:$H$19</c:f>
              <c:strCache>
                <c:ptCount val="7"/>
                <c:pt idx="0">
                  <c:v>FY 09</c:v>
                </c:pt>
                <c:pt idx="1">
                  <c:v>FY 10</c:v>
                </c:pt>
                <c:pt idx="2">
                  <c:v>FY 11</c:v>
                </c:pt>
                <c:pt idx="3">
                  <c:v>FY 12</c:v>
                </c:pt>
                <c:pt idx="4">
                  <c:v>FY 13</c:v>
                </c:pt>
                <c:pt idx="5">
                  <c:v>FY 14</c:v>
                </c:pt>
                <c:pt idx="6">
                  <c:v>FY 15</c:v>
                </c:pt>
              </c:strCache>
            </c:strRef>
          </c:cat>
          <c:val>
            <c:numRef>
              <c:f>'% Change (2)'!$B$22:$H$22</c:f>
              <c:numCache>
                <c:formatCode>"$"#,##0</c:formatCode>
                <c:ptCount val="7"/>
                <c:pt idx="0">
                  <c:v>20488</c:v>
                </c:pt>
                <c:pt idx="1">
                  <c:v>70051</c:v>
                </c:pt>
                <c:pt idx="2">
                  <c:v>18251</c:v>
                </c:pt>
                <c:pt idx="3">
                  <c:v>7397</c:v>
                </c:pt>
                <c:pt idx="4">
                  <c:v>17173</c:v>
                </c:pt>
                <c:pt idx="5">
                  <c:v>7335</c:v>
                </c:pt>
                <c:pt idx="6">
                  <c:v>43328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025856"/>
        <c:axId val="387020416"/>
      </c:lineChart>
      <c:catAx>
        <c:axId val="597205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7032384"/>
        <c:crossesAt val="0"/>
        <c:auto val="1"/>
        <c:lblAlgn val="ctr"/>
        <c:lblOffset val="100"/>
        <c:noMultiLvlLbl val="0"/>
      </c:catAx>
      <c:valAx>
        <c:axId val="387032384"/>
        <c:scaling>
          <c:orientation val="minMax"/>
        </c:scaling>
        <c:delete val="0"/>
        <c:axPos val="l"/>
        <c:majorGridlines/>
        <c:numFmt formatCode="&quot;$&quot;#,##0" sourceLinked="1"/>
        <c:majorTickMark val="out"/>
        <c:minorTickMark val="none"/>
        <c:tickLblPos val="nextTo"/>
        <c:crossAx val="597205776"/>
        <c:crosses val="autoZero"/>
        <c:crossBetween val="between"/>
      </c:valAx>
      <c:valAx>
        <c:axId val="38702041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Non-Profit</a:t>
                </a:r>
              </a:p>
            </c:rich>
          </c:tx>
          <c:overlay val="0"/>
        </c:title>
        <c:numFmt formatCode="&quot;$&quot;#,##0" sourceLinked="1"/>
        <c:majorTickMark val="out"/>
        <c:minorTickMark val="none"/>
        <c:tickLblPos val="nextTo"/>
        <c:crossAx val="387025856"/>
        <c:crosses val="max"/>
        <c:crossBetween val="between"/>
      </c:valAx>
      <c:catAx>
        <c:axId val="387025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7020416"/>
        <c:crosses val="autoZero"/>
        <c:auto val="1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0.1358158355205599"/>
          <c:y val="0.11083890332348255"/>
          <c:w val="0.72255097920452249"/>
          <c:h val="3.577233112923199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Chart 2. FSU SMV/WBE Activity by Spending Category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'% Change (2)'!$A$25</c:f>
              <c:strCache>
                <c:ptCount val="1"/>
                <c:pt idx="0">
                  <c:v>Construction</c:v>
                </c:pt>
              </c:strCache>
            </c:strRef>
          </c:tx>
          <c:cat>
            <c:strRef>
              <c:f>'% Change (2)'!$B$24:$H$24</c:f>
              <c:strCache>
                <c:ptCount val="7"/>
                <c:pt idx="0">
                  <c:v>FY 09</c:v>
                </c:pt>
                <c:pt idx="1">
                  <c:v>FY 10</c:v>
                </c:pt>
                <c:pt idx="2">
                  <c:v>FY 11</c:v>
                </c:pt>
                <c:pt idx="3">
                  <c:v>FY 12</c:v>
                </c:pt>
                <c:pt idx="4">
                  <c:v>FY 13</c:v>
                </c:pt>
                <c:pt idx="5">
                  <c:v>FY 14</c:v>
                </c:pt>
                <c:pt idx="6">
                  <c:v>FY 15</c:v>
                </c:pt>
              </c:strCache>
            </c:strRef>
          </c:cat>
          <c:val>
            <c:numRef>
              <c:f>'% Change (2)'!$B$25:$H$25</c:f>
              <c:numCache>
                <c:formatCode>"$"#,##0</c:formatCode>
                <c:ptCount val="7"/>
                <c:pt idx="0">
                  <c:v>16827089</c:v>
                </c:pt>
                <c:pt idx="1">
                  <c:v>15826901</c:v>
                </c:pt>
                <c:pt idx="2">
                  <c:v>24778504</c:v>
                </c:pt>
                <c:pt idx="3">
                  <c:v>6268647</c:v>
                </c:pt>
                <c:pt idx="4">
                  <c:v>6896205</c:v>
                </c:pt>
                <c:pt idx="5">
                  <c:v>12198064</c:v>
                </c:pt>
                <c:pt idx="6">
                  <c:v>7663238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'% Change (2)'!$A$27</c:f>
              <c:strCache>
                <c:ptCount val="1"/>
                <c:pt idx="0">
                  <c:v>Commodities</c:v>
                </c:pt>
              </c:strCache>
            </c:strRef>
          </c:tx>
          <c:cat>
            <c:strRef>
              <c:f>'% Change (2)'!$B$24:$H$24</c:f>
              <c:strCache>
                <c:ptCount val="7"/>
                <c:pt idx="0">
                  <c:v>FY 09</c:v>
                </c:pt>
                <c:pt idx="1">
                  <c:v>FY 10</c:v>
                </c:pt>
                <c:pt idx="2">
                  <c:v>FY 11</c:v>
                </c:pt>
                <c:pt idx="3">
                  <c:v>FY 12</c:v>
                </c:pt>
                <c:pt idx="4">
                  <c:v>FY 13</c:v>
                </c:pt>
                <c:pt idx="5">
                  <c:v>FY 14</c:v>
                </c:pt>
                <c:pt idx="6">
                  <c:v>FY 15</c:v>
                </c:pt>
              </c:strCache>
            </c:strRef>
          </c:cat>
          <c:val>
            <c:numRef>
              <c:f>'% Change (2)'!$B$27:$H$27</c:f>
              <c:numCache>
                <c:formatCode>"$"#,##0</c:formatCode>
                <c:ptCount val="7"/>
                <c:pt idx="0">
                  <c:v>8541729</c:v>
                </c:pt>
                <c:pt idx="1">
                  <c:v>9032698</c:v>
                </c:pt>
                <c:pt idx="2">
                  <c:v>6563568</c:v>
                </c:pt>
                <c:pt idx="3">
                  <c:v>5311397</c:v>
                </c:pt>
                <c:pt idx="4">
                  <c:v>5362796</c:v>
                </c:pt>
                <c:pt idx="5">
                  <c:v>5627006</c:v>
                </c:pt>
                <c:pt idx="6">
                  <c:v>4375798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020960"/>
        <c:axId val="387029664"/>
      </c:lineChart>
      <c:lineChart>
        <c:grouping val="standard"/>
        <c:varyColors val="0"/>
        <c:ser>
          <c:idx val="1"/>
          <c:order val="1"/>
          <c:tx>
            <c:strRef>
              <c:f>'% Change (2)'!$A$26</c:f>
              <c:strCache>
                <c:ptCount val="1"/>
                <c:pt idx="0">
                  <c:v>Architecture/Engineering</c:v>
                </c:pt>
              </c:strCache>
            </c:strRef>
          </c:tx>
          <c:cat>
            <c:strRef>
              <c:f>'% Change (2)'!$B$24:$H$24</c:f>
              <c:strCache>
                <c:ptCount val="7"/>
                <c:pt idx="0">
                  <c:v>FY 09</c:v>
                </c:pt>
                <c:pt idx="1">
                  <c:v>FY 10</c:v>
                </c:pt>
                <c:pt idx="2">
                  <c:v>FY 11</c:v>
                </c:pt>
                <c:pt idx="3">
                  <c:v>FY 12</c:v>
                </c:pt>
                <c:pt idx="4">
                  <c:v>FY 13</c:v>
                </c:pt>
                <c:pt idx="5">
                  <c:v>FY 14</c:v>
                </c:pt>
                <c:pt idx="6">
                  <c:v>FY 15</c:v>
                </c:pt>
              </c:strCache>
            </c:strRef>
          </c:cat>
          <c:val>
            <c:numRef>
              <c:f>'% Change (2)'!$B$26:$H$26</c:f>
              <c:numCache>
                <c:formatCode>"$"#,##0</c:formatCode>
                <c:ptCount val="7"/>
                <c:pt idx="0">
                  <c:v>427223</c:v>
                </c:pt>
                <c:pt idx="1">
                  <c:v>162135</c:v>
                </c:pt>
                <c:pt idx="2">
                  <c:v>1081882</c:v>
                </c:pt>
                <c:pt idx="3">
                  <c:v>1582384</c:v>
                </c:pt>
                <c:pt idx="4">
                  <c:v>1111855</c:v>
                </c:pt>
                <c:pt idx="5">
                  <c:v>183493</c:v>
                </c:pt>
                <c:pt idx="6">
                  <c:v>31532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'% Change (2)'!$A$28</c:f>
              <c:strCache>
                <c:ptCount val="1"/>
                <c:pt idx="0">
                  <c:v>Contractual Services</c:v>
                </c:pt>
              </c:strCache>
            </c:strRef>
          </c:tx>
          <c:cat>
            <c:strRef>
              <c:f>'% Change (2)'!$B$24:$H$24</c:f>
              <c:strCache>
                <c:ptCount val="7"/>
                <c:pt idx="0">
                  <c:v>FY 09</c:v>
                </c:pt>
                <c:pt idx="1">
                  <c:v>FY 10</c:v>
                </c:pt>
                <c:pt idx="2">
                  <c:v>FY 11</c:v>
                </c:pt>
                <c:pt idx="3">
                  <c:v>FY 12</c:v>
                </c:pt>
                <c:pt idx="4">
                  <c:v>FY 13</c:v>
                </c:pt>
                <c:pt idx="5">
                  <c:v>FY 14</c:v>
                </c:pt>
                <c:pt idx="6">
                  <c:v>FY 15</c:v>
                </c:pt>
              </c:strCache>
            </c:strRef>
          </c:cat>
          <c:val>
            <c:numRef>
              <c:f>'% Change (2)'!$B$28:$H$28</c:f>
              <c:numCache>
                <c:formatCode>"$"#,##0</c:formatCode>
                <c:ptCount val="7"/>
                <c:pt idx="0">
                  <c:v>1939997</c:v>
                </c:pt>
                <c:pt idx="1">
                  <c:v>2257162</c:v>
                </c:pt>
                <c:pt idx="2">
                  <c:v>2287552</c:v>
                </c:pt>
                <c:pt idx="3">
                  <c:v>2422441</c:v>
                </c:pt>
                <c:pt idx="4">
                  <c:v>2543875</c:v>
                </c:pt>
                <c:pt idx="5">
                  <c:v>3011144</c:v>
                </c:pt>
                <c:pt idx="6">
                  <c:v>3220025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021504"/>
        <c:axId val="387028032"/>
      </c:lineChart>
      <c:catAx>
        <c:axId val="387020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7029664"/>
        <c:crosses val="autoZero"/>
        <c:auto val="1"/>
        <c:lblAlgn val="ctr"/>
        <c:lblOffset val="100"/>
        <c:noMultiLvlLbl val="0"/>
      </c:catAx>
      <c:valAx>
        <c:axId val="387029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Construction &amp; Commodities</a:t>
                </a:r>
              </a:p>
            </c:rich>
          </c:tx>
          <c:overlay val="0"/>
        </c:title>
        <c:numFmt formatCode="&quot;$&quot;#,##0" sourceLinked="1"/>
        <c:majorTickMark val="out"/>
        <c:minorTickMark val="none"/>
        <c:tickLblPos val="nextTo"/>
        <c:crossAx val="387020960"/>
        <c:crosses val="autoZero"/>
        <c:crossBetween val="between"/>
      </c:valAx>
      <c:valAx>
        <c:axId val="38702803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A&amp;E and Contractual Services</a:t>
                </a:r>
              </a:p>
            </c:rich>
          </c:tx>
          <c:overlay val="0"/>
        </c:title>
        <c:numFmt formatCode="&quot;$&quot;#,##0" sourceLinked="1"/>
        <c:majorTickMark val="out"/>
        <c:minorTickMark val="none"/>
        <c:tickLblPos val="nextTo"/>
        <c:crossAx val="387021504"/>
        <c:crosses val="max"/>
        <c:crossBetween val="between"/>
      </c:valAx>
      <c:catAx>
        <c:axId val="387021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7028032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F2BF-C858-4118-AB92-ABEE549E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Human Resources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Acoff</dc:creator>
  <cp:lastModifiedBy>Ian Robbins</cp:lastModifiedBy>
  <cp:revision>2</cp:revision>
  <cp:lastPrinted>2015-11-09T18:56:00Z</cp:lastPrinted>
  <dcterms:created xsi:type="dcterms:W3CDTF">2015-12-22T12:41:00Z</dcterms:created>
  <dcterms:modified xsi:type="dcterms:W3CDTF">2015-12-22T12:41:00Z</dcterms:modified>
</cp:coreProperties>
</file>